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outlineLvl w:val="0"/>
        <w:rPr>
          <w:rFonts w:ascii="Trebuchet MS" w:hAnsi="Trebuchet MS" w:cs="Arial"/>
          <w:b/>
        </w:rPr>
      </w:pPr>
      <w:r>
        <w:rPr>
          <w:rFonts w:ascii="Trebuchet MS" w:hAnsi="Trebuchet MS" w:cs="Arial"/>
          <w:b/>
        </w:rPr>
        <w:t>PROCEDURE CONCURENTIELLE AVEC NEGOCIATION</w:t>
      </w:r>
    </w:p>
    <w:p>
      <w:pPr>
        <w:jc w:val="center"/>
        <w:outlineLvl w:val="0"/>
        <w:rPr>
          <w:rFonts w:ascii="Trebuchet MS" w:hAnsi="Trebuchet MS" w:cs="Arial"/>
          <w:b/>
        </w:rPr>
      </w:pPr>
      <w:r>
        <w:rPr>
          <w:rFonts w:ascii="Trebuchet MS" w:hAnsi="Trebuchet MS" w:cs="Arial"/>
          <w:b/>
        </w:rPr>
        <w:t>MARCHE DE SERVICES d’AUTEUR DE PROJET</w:t>
      </w:r>
    </w:p>
    <w:p>
      <w:pPr>
        <w:jc w:val="center"/>
        <w:outlineLvl w:val="0"/>
        <w:rPr>
          <w:rFonts w:ascii="Trebuchet MS" w:hAnsi="Trebuchet MS" w:cs="Arial"/>
          <w:b/>
        </w:rPr>
      </w:pPr>
    </w:p>
    <w:p>
      <w:pPr>
        <w:jc w:val="center"/>
        <w:rPr>
          <w:rFonts w:ascii="Trebuchet MS" w:hAnsi="Trebuchet MS"/>
          <w:szCs w:val="20"/>
        </w:rPr>
      </w:pPr>
      <w:r>
        <w:rPr>
          <w:rFonts w:ascii="Trebuchet MS" w:hAnsi="Trebuchet MS" w:cs="Arial"/>
          <w:szCs w:val="22"/>
        </w:rPr>
        <w:t>Marché de services pour la désignation d’un auteur de projet</w:t>
      </w:r>
      <w:r>
        <w:rPr>
          <w:rFonts w:ascii="Trebuchet MS" w:hAnsi="Trebuchet MS"/>
          <w:szCs w:val="20"/>
        </w:rPr>
        <w:t xml:space="preserve"> </w:t>
      </w:r>
    </w:p>
    <w:p>
      <w:pPr>
        <w:jc w:val="center"/>
        <w:rPr>
          <w:rFonts w:ascii="Trebuchet MS" w:hAnsi="Trebuchet MS" w:cs="Arial"/>
          <w:szCs w:val="22"/>
        </w:rPr>
      </w:pPr>
      <w:r>
        <w:rPr>
          <w:rFonts w:ascii="Trebuchet MS" w:hAnsi="Trebuchet MS" w:cs="Arial"/>
          <w:szCs w:val="22"/>
        </w:rPr>
        <w:t>pour</w:t>
      </w:r>
      <w:bookmarkStart w:id="0" w:name="_Toc275162917"/>
      <w:bookmarkStart w:id="1" w:name="_Toc288740081"/>
      <w:r>
        <w:rPr>
          <w:rFonts w:ascii="Trebuchet MS" w:hAnsi="Trebuchet MS" w:cs="Arial"/>
          <w:szCs w:val="22"/>
        </w:rPr>
        <w:t xml:space="preserve"> </w:t>
      </w:r>
      <w:bookmarkEnd w:id="0"/>
      <w:bookmarkEnd w:id="1"/>
      <w:r>
        <w:rPr>
          <w:rFonts w:ascii="Trebuchet MS" w:hAnsi="Trebuchet MS" w:cs="Arial"/>
          <w:szCs w:val="22"/>
        </w:rPr>
        <w:t xml:space="preserve">une mission </w:t>
      </w:r>
      <w:r>
        <w:rPr>
          <w:rFonts w:ascii="Trebuchet MS" w:hAnsi="Trebuchet MS" w:cs="Arial"/>
          <w:szCs w:val="22"/>
          <w:highlight w:val="yellow"/>
        </w:rPr>
        <w:t>d’étude et de suivi des travaux</w:t>
      </w:r>
    </w:p>
    <w:p>
      <w:pPr>
        <w:rPr>
          <w:rFonts w:ascii="Trebuchet MS" w:hAnsi="Trebuchet MS" w:cs="Arial"/>
        </w:rPr>
      </w:pPr>
    </w:p>
    <w:p>
      <w:pPr>
        <w:jc w:val="center"/>
        <w:outlineLvl w:val="0"/>
        <w:rPr>
          <w:rFonts w:ascii="Trebuchet MS" w:hAnsi="Trebuchet MS" w:cs="Arial"/>
          <w:b/>
          <w:u w:val="single"/>
        </w:rPr>
      </w:pPr>
      <w:commentRangeStart w:id="2"/>
      <w:r>
        <w:rPr>
          <w:rFonts w:ascii="Trebuchet MS" w:hAnsi="Trebuchet MS" w:cs="Arial"/>
          <w:b/>
          <w:u w:val="single"/>
        </w:rPr>
        <w:t>MOTIVATION DU CHOIX DE LA PROCEDURE</w:t>
      </w:r>
      <w:commentRangeEnd w:id="2"/>
      <w:r>
        <w:rPr>
          <w:rStyle w:val="Marquedecommentaire"/>
        </w:rPr>
        <w:commentReference w:id="2"/>
      </w:r>
    </w:p>
    <w:p>
      <w:pPr>
        <w:rPr>
          <w:rFonts w:ascii="Trebuchet MS" w:hAnsi="Trebuchet MS" w:cs="Arial"/>
          <w:b/>
          <w:u w:val="single"/>
        </w:rPr>
      </w:pPr>
    </w:p>
    <w:p>
      <w:pPr>
        <w:rPr>
          <w:rFonts w:ascii="Trebuchet MS" w:hAnsi="Trebuchet MS" w:cs="Arial"/>
          <w:b/>
          <w:u w:val="single"/>
        </w:rPr>
      </w:pPr>
    </w:p>
    <w:p>
      <w:pPr>
        <w:jc w:val="center"/>
        <w:outlineLvl w:val="0"/>
        <w:rPr>
          <w:rFonts w:ascii="Trebuchet MS" w:hAnsi="Trebuchet MS" w:cs="Arial"/>
          <w:i/>
          <w:szCs w:val="22"/>
          <w:highlight w:val="yellow"/>
        </w:rPr>
      </w:pPr>
      <w:r>
        <w:rPr>
          <w:rFonts w:ascii="Trebuchet MS" w:hAnsi="Trebuchet MS" w:cs="Arial"/>
          <w:i/>
          <w:szCs w:val="22"/>
          <w:highlight w:val="yellow"/>
        </w:rPr>
        <w:t>Nom du dossier</w:t>
      </w:r>
    </w:p>
    <w:p>
      <w:pPr>
        <w:jc w:val="center"/>
        <w:rPr>
          <w:rFonts w:ascii="Trebuchet MS" w:hAnsi="Trebuchet MS" w:cs="Arial"/>
          <w:i/>
          <w:szCs w:val="22"/>
        </w:rPr>
      </w:pPr>
      <w:r>
        <w:rPr>
          <w:rFonts w:ascii="Trebuchet MS" w:hAnsi="Trebuchet MS" w:cs="Arial"/>
          <w:i/>
          <w:szCs w:val="22"/>
          <w:highlight w:val="yellow"/>
        </w:rPr>
        <w:t>Adresse</w:t>
      </w:r>
    </w:p>
    <w:p>
      <w:pPr>
        <w:rPr>
          <w:rFonts w:ascii="Trebuchet MS" w:hAnsi="Trebuchet MS" w:cs="Arial"/>
          <w:szCs w:val="22"/>
        </w:rPr>
      </w:pPr>
    </w:p>
    <w:p>
      <w:pPr>
        <w:jc w:val="both"/>
        <w:rPr>
          <w:rFonts w:ascii="Trebuchet MS" w:hAnsi="Trebuchet MS"/>
        </w:rPr>
      </w:pPr>
      <w:r>
        <w:rPr>
          <w:rFonts w:ascii="Trebuchet MS" w:hAnsi="Trebuchet MS"/>
        </w:rPr>
        <w:t xml:space="preserve">Vu la loi du 17 juin 2016 relative aux marchés publics et à certains marchés de travaux, fournitures et de services, notamment l’article 38, §1, 1° b) </w:t>
      </w:r>
      <w:commentRangeStart w:id="4"/>
      <w:r>
        <w:rPr>
          <w:rFonts w:ascii="Trebuchet MS" w:hAnsi="Trebuchet MS"/>
        </w:rPr>
        <w:t>et f)</w:t>
      </w:r>
      <w:commentRangeEnd w:id="4"/>
      <w:r>
        <w:rPr>
          <w:rStyle w:val="Marquedecommentaire"/>
        </w:rPr>
        <w:commentReference w:id="4"/>
      </w:r>
      <w:r>
        <w:rPr>
          <w:rFonts w:ascii="Trebuchet MS" w:hAnsi="Trebuchet MS"/>
        </w:rPr>
        <w:t xml:space="preserve">, permettant de recourir à une procédure concurrentielle avec négociation pour un marché de services incluant la conception ou les solutions innovantes </w:t>
      </w:r>
      <w:commentRangeStart w:id="5"/>
      <w:r>
        <w:rPr>
          <w:rFonts w:ascii="Trebuchet MS" w:hAnsi="Trebuchet MS"/>
        </w:rPr>
        <w:t>et dont le montant estimé hors taxe sur la valeur ajoutée est inférieur aux montants fixés par le Roi</w:t>
      </w:r>
      <w:commentRangeEnd w:id="5"/>
      <w:r>
        <w:rPr>
          <w:rStyle w:val="Marquedecommentaire"/>
        </w:rPr>
        <w:commentReference w:id="5"/>
      </w:r>
      <w:r>
        <w:rPr>
          <w:rFonts w:ascii="Trebuchet MS" w:hAnsi="Trebuchet MS"/>
        </w:rPr>
        <w:t>;</w:t>
      </w:r>
    </w:p>
    <w:p>
      <w:pPr>
        <w:jc w:val="both"/>
        <w:rPr>
          <w:rFonts w:ascii="Trebuchet MS" w:hAnsi="Trebuchet MS"/>
        </w:rPr>
      </w:pPr>
    </w:p>
    <w:p>
      <w:pPr>
        <w:jc w:val="both"/>
        <w:rPr>
          <w:rFonts w:ascii="Trebuchet MS" w:hAnsi="Trebuchet MS"/>
        </w:rPr>
      </w:pPr>
      <w:r>
        <w:rPr>
          <w:rFonts w:ascii="Trebuchet MS" w:hAnsi="Trebuchet MS"/>
        </w:rPr>
        <w:t>Étant donné que les marchés de services d’auteur de projet incluent la conception sous forme de prestation intellectuelle créatrice;</w:t>
      </w:r>
    </w:p>
    <w:p>
      <w:pPr>
        <w:jc w:val="both"/>
        <w:rPr>
          <w:rFonts w:ascii="Trebuchet MS" w:hAnsi="Trebuchet MS"/>
        </w:rPr>
      </w:pPr>
    </w:p>
    <w:p>
      <w:pPr>
        <w:jc w:val="both"/>
        <w:rPr>
          <w:rFonts w:ascii="Trebuchet MS" w:hAnsi="Trebuchet MS"/>
        </w:rPr>
      </w:pPr>
      <w:r>
        <w:rPr>
          <w:rFonts w:ascii="Trebuchet MS" w:hAnsi="Trebuchet MS"/>
        </w:rPr>
        <w:t xml:space="preserve">Le choix est la </w:t>
      </w:r>
      <w:r>
        <w:rPr>
          <w:rFonts w:ascii="Trebuchet MS" w:hAnsi="Trebuchet MS"/>
          <w:b/>
        </w:rPr>
        <w:t xml:space="preserve">procédure </w:t>
      </w:r>
      <w:r>
        <w:rPr>
          <w:rFonts w:ascii="Trebuchet MS" w:hAnsi="Trebuchet MS"/>
        </w:rPr>
        <w:t xml:space="preserve">concurrentielle avec négociation, sur base de l’article 38, §1, 1°b) </w:t>
      </w:r>
      <w:commentRangeStart w:id="6"/>
      <w:r>
        <w:rPr>
          <w:rFonts w:ascii="Trebuchet MS" w:hAnsi="Trebuchet MS"/>
        </w:rPr>
        <w:t>et f</w:t>
      </w:r>
      <w:commentRangeEnd w:id="6"/>
      <w:r>
        <w:rPr>
          <w:rFonts w:ascii="Trebuchet MS" w:hAnsi="Trebuchet MS"/>
        </w:rPr>
        <w:t xml:space="preserve">) </w:t>
      </w:r>
      <w:r>
        <w:rPr>
          <w:rStyle w:val="Marquedecommentaire"/>
        </w:rPr>
        <w:commentReference w:id="6"/>
      </w:r>
      <w:r>
        <w:rPr>
          <w:rFonts w:ascii="Trebuchet MS" w:hAnsi="Trebuchet MS"/>
        </w:rPr>
        <w:t>de la loi du 17 juin 2016.</w:t>
      </w:r>
    </w:p>
    <w:p>
      <w:pPr>
        <w:rPr>
          <w:rFonts w:ascii="Trebuchet MS" w:hAnsi="Trebuchet MS"/>
        </w:rPr>
      </w:pPr>
    </w:p>
    <w:p>
      <w:pPr>
        <w:jc w:val="both"/>
        <w:rPr>
          <w:rFonts w:ascii="Trebuchet MS" w:hAnsi="Trebuchet MS"/>
          <w:szCs w:val="20"/>
        </w:rPr>
      </w:pPr>
      <w:r>
        <w:rPr>
          <w:rFonts w:ascii="Trebuchet MS" w:hAnsi="Trebuchet MS"/>
          <w:szCs w:val="20"/>
        </w:rPr>
        <w:t>Bien</w:t>
      </w:r>
      <w:r>
        <w:rPr>
          <w:rFonts w:ascii="Trebuchet MS" w:hAnsi="Trebuchet MS"/>
        </w:rPr>
        <w:t xml:space="preserve"> </w:t>
      </w:r>
      <w:r>
        <w:rPr>
          <w:rFonts w:ascii="Trebuchet MS" w:hAnsi="Trebuchet MS"/>
          <w:szCs w:val="20"/>
        </w:rPr>
        <w:t xml:space="preserve">que la valeur du marché soit supérieure à 140.000 euros HTVA </w:t>
      </w:r>
      <w:commentRangeStart w:id="7"/>
      <w:r>
        <w:rPr>
          <w:rFonts w:ascii="Trebuchet MS" w:hAnsi="Trebuchet MS"/>
          <w:szCs w:val="20"/>
        </w:rPr>
        <w:t>le marché n’est pas divisé en lots</w:t>
      </w:r>
      <w:commentRangeEnd w:id="7"/>
      <w:r>
        <w:rPr>
          <w:rStyle w:val="Marquedecommentaire"/>
        </w:rPr>
        <w:commentReference w:id="7"/>
      </w:r>
      <w:r>
        <w:rPr>
          <w:rFonts w:ascii="Trebuchet MS" w:hAnsi="Trebuchet MS"/>
          <w:szCs w:val="20"/>
        </w:rPr>
        <w:t> pour les raisons principales suivantes :</w:t>
      </w:r>
    </w:p>
    <w:p>
      <w:pPr>
        <w:jc w:val="both"/>
        <w:rPr>
          <w:rFonts w:ascii="Trebuchet MS" w:hAnsi="Trebuchet MS"/>
          <w:szCs w:val="20"/>
        </w:rPr>
      </w:pPr>
    </w:p>
    <w:p>
      <w:pPr>
        <w:pStyle w:val="Paragraphedeliste"/>
        <w:numPr>
          <w:ilvl w:val="0"/>
          <w:numId w:val="1"/>
        </w:numPr>
        <w:ind w:left="567" w:hanging="425"/>
        <w:jc w:val="both"/>
        <w:rPr>
          <w:rFonts w:ascii="Trebuchet MS" w:hAnsi="Trebuchet MS"/>
          <w:szCs w:val="20"/>
        </w:rPr>
      </w:pPr>
      <w:r>
        <w:rPr>
          <w:rFonts w:ascii="Trebuchet MS" w:hAnsi="Trebuchet MS"/>
          <w:szCs w:val="20"/>
        </w:rPr>
        <w:t>il importe que chaque phase du projet soit réalisée par le même attributaire, au risque de compromettre la cohérence du projet et de rendre l’exécution du présent marché excessivement coûteuse et difficile sur le plan technique ;</w:t>
      </w:r>
    </w:p>
    <w:p>
      <w:pPr>
        <w:jc w:val="both"/>
        <w:rPr>
          <w:rFonts w:ascii="Trebuchet MS" w:hAnsi="Trebuchet MS"/>
          <w:szCs w:val="20"/>
        </w:rPr>
      </w:pPr>
    </w:p>
    <w:p>
      <w:pPr>
        <w:pStyle w:val="Paragraphedeliste"/>
        <w:numPr>
          <w:ilvl w:val="0"/>
          <w:numId w:val="1"/>
        </w:numPr>
        <w:ind w:left="567" w:hanging="425"/>
        <w:jc w:val="both"/>
        <w:rPr>
          <w:rFonts w:ascii="Trebuchet MS" w:hAnsi="Trebuchet MS"/>
          <w:szCs w:val="20"/>
        </w:rPr>
      </w:pPr>
      <w:r>
        <w:rPr>
          <w:rFonts w:ascii="Trebuchet MS" w:hAnsi="Trebuchet MS"/>
          <w:szCs w:val="20"/>
        </w:rPr>
        <w:t>la pré-esquisse à présenter au stade de l’offre doit inclure toutes les dimensions de la conception. Un opérateur ne disposant que d’une partie des compétences requises serait incapable de présenter seul une telle pré-esquisse, de sorte qu’une division en lots par type de compétence est impossible ;</w:t>
      </w:r>
    </w:p>
    <w:p>
      <w:pPr>
        <w:jc w:val="both"/>
        <w:rPr>
          <w:rFonts w:ascii="Trebuchet MS" w:hAnsi="Trebuchet MS"/>
          <w:szCs w:val="20"/>
        </w:rPr>
      </w:pPr>
    </w:p>
    <w:p>
      <w:pPr>
        <w:pStyle w:val="Paragraphedeliste"/>
        <w:numPr>
          <w:ilvl w:val="0"/>
          <w:numId w:val="1"/>
        </w:numPr>
        <w:ind w:left="567" w:hanging="425"/>
        <w:jc w:val="both"/>
        <w:rPr>
          <w:rFonts w:ascii="Trebuchet MS" w:hAnsi="Trebuchet MS"/>
          <w:szCs w:val="20"/>
        </w:rPr>
      </w:pPr>
      <w:r>
        <w:rPr>
          <w:rFonts w:ascii="Trebuchet MS" w:hAnsi="Trebuchet MS"/>
          <w:szCs w:val="20"/>
        </w:rPr>
        <w:t>la mission d’auteur de projet suppose la coordination par celui-ci de plusieurs compétences en vue d’assurer la bonne exécution du marché. Si le marché était divisé en lots, l’opérateur chargé de la coordination de ceux-ci verrait sa capacité à agir sur des prestataires tiers et non choisis déforcée ;</w:t>
      </w:r>
    </w:p>
    <w:p>
      <w:pPr>
        <w:jc w:val="both"/>
        <w:rPr>
          <w:rFonts w:ascii="Trebuchet MS" w:hAnsi="Trebuchet MS"/>
          <w:szCs w:val="20"/>
        </w:rPr>
      </w:pPr>
    </w:p>
    <w:p>
      <w:pPr>
        <w:pStyle w:val="Paragraphedeliste"/>
        <w:numPr>
          <w:ilvl w:val="0"/>
          <w:numId w:val="1"/>
        </w:numPr>
        <w:ind w:left="567" w:hanging="425"/>
        <w:jc w:val="both"/>
        <w:rPr>
          <w:rFonts w:ascii="Trebuchet MS" w:hAnsi="Trebuchet MS"/>
          <w:szCs w:val="20"/>
        </w:rPr>
      </w:pPr>
      <w:r>
        <w:rPr>
          <w:rFonts w:ascii="Trebuchet MS" w:hAnsi="Trebuchet MS"/>
          <w:szCs w:val="20"/>
        </w:rPr>
        <w:t>les missions de conception sont rémunérées au pourcentage sur le montant des travaux par discipline. Dans le cadre d’une enveloppe budgétaire globale, il n’est pas rare, en cours d’études, de devoir ajuster le poids relatif de chaque compétence afin de respecter l’enveloppe. Un tel ajustement ne pose pas problème lorsqu’il intervient au sein d’une équipe pluridisciplinaire ; il serait en revanche complexe, voire impossible, dans le contexte de contrats distincts.</w:t>
      </w:r>
    </w:p>
    <w:p>
      <w:pPr>
        <w:pBdr>
          <w:bottom w:val="single" w:sz="6" w:space="0" w:color="auto"/>
        </w:pBdr>
        <w:rPr>
          <w:rFonts w:ascii="Trebuchet MS" w:hAnsi="Trebuchet MS"/>
          <w:color w:val="0070C0"/>
        </w:rPr>
      </w:pPr>
    </w:p>
    <w:p>
      <w:pPr>
        <w:pBdr>
          <w:bottom w:val="single" w:sz="6" w:space="0" w:color="auto"/>
        </w:pBdr>
        <w:rPr>
          <w:rFonts w:ascii="Trebuchet MS" w:hAnsi="Trebuchet MS"/>
          <w:color w:val="0070C0"/>
        </w:rPr>
      </w:pPr>
    </w:p>
    <w:p>
      <w:pPr>
        <w:outlineLvl w:val="0"/>
        <w:rPr>
          <w:rFonts w:ascii="Trebuchet MS" w:hAnsi="Trebuchet MS"/>
        </w:rPr>
      </w:pPr>
    </w:p>
    <w:p>
      <w:pPr>
        <w:jc w:val="center"/>
        <w:outlineLvl w:val="0"/>
        <w:rPr>
          <w:rFonts w:ascii="Trebuchet MS" w:hAnsi="Trebuchet MS" w:cs="Arial"/>
          <w:b/>
        </w:rPr>
      </w:pPr>
      <w:r>
        <w:rPr>
          <w:rFonts w:ascii="Trebuchet MS" w:hAnsi="Trebuchet MS" w:cs="Arial"/>
          <w:b/>
        </w:rPr>
        <w:t>PROCEDURE NEGOCIEE SANS PUBLICATION PREALABLE</w:t>
      </w:r>
    </w:p>
    <w:p>
      <w:pPr>
        <w:jc w:val="center"/>
        <w:outlineLvl w:val="0"/>
        <w:rPr>
          <w:rFonts w:ascii="Trebuchet MS" w:hAnsi="Trebuchet MS" w:cs="Arial"/>
          <w:b/>
        </w:rPr>
      </w:pPr>
      <w:r>
        <w:rPr>
          <w:rFonts w:ascii="Trebuchet MS" w:hAnsi="Trebuchet MS" w:cs="Arial"/>
          <w:b/>
        </w:rPr>
        <w:t>MARCHE DE SERVICES d’ARCHITECTURE</w:t>
      </w:r>
    </w:p>
    <w:p>
      <w:pPr>
        <w:jc w:val="center"/>
        <w:outlineLvl w:val="0"/>
        <w:rPr>
          <w:rFonts w:ascii="Trebuchet MS" w:hAnsi="Trebuchet MS" w:cs="Arial"/>
          <w:b/>
        </w:rPr>
      </w:pPr>
    </w:p>
    <w:p>
      <w:pPr>
        <w:jc w:val="center"/>
        <w:rPr>
          <w:rFonts w:ascii="Trebuchet MS" w:hAnsi="Trebuchet MS"/>
          <w:szCs w:val="20"/>
        </w:rPr>
      </w:pPr>
      <w:r>
        <w:rPr>
          <w:rFonts w:ascii="Trebuchet MS" w:hAnsi="Trebuchet MS" w:cs="Arial"/>
          <w:szCs w:val="22"/>
        </w:rPr>
        <w:t>Marché de services pour la désignation d’un auteur de projet</w:t>
      </w:r>
      <w:r>
        <w:rPr>
          <w:rFonts w:ascii="Trebuchet MS" w:hAnsi="Trebuchet MS"/>
          <w:szCs w:val="20"/>
        </w:rPr>
        <w:t xml:space="preserve"> </w:t>
      </w:r>
    </w:p>
    <w:p>
      <w:pPr>
        <w:jc w:val="center"/>
        <w:rPr>
          <w:rFonts w:ascii="Trebuchet MS" w:hAnsi="Trebuchet MS" w:cs="Arial"/>
          <w:szCs w:val="22"/>
        </w:rPr>
      </w:pPr>
      <w:r>
        <w:rPr>
          <w:rFonts w:ascii="Trebuchet MS" w:hAnsi="Trebuchet MS" w:cs="Arial"/>
          <w:szCs w:val="22"/>
        </w:rPr>
        <w:t>pour une mission d’étude et de suivi des travaux</w:t>
      </w:r>
    </w:p>
    <w:p>
      <w:pPr>
        <w:rPr>
          <w:rFonts w:ascii="Trebuchet MS" w:hAnsi="Trebuchet MS" w:cs="Arial"/>
        </w:rPr>
      </w:pPr>
    </w:p>
    <w:p>
      <w:pPr>
        <w:jc w:val="center"/>
        <w:outlineLvl w:val="0"/>
        <w:rPr>
          <w:rFonts w:ascii="Trebuchet MS" w:hAnsi="Trebuchet MS" w:cs="Arial"/>
          <w:b/>
          <w:u w:val="single"/>
        </w:rPr>
      </w:pPr>
      <w:r>
        <w:rPr>
          <w:rFonts w:ascii="Trebuchet MS" w:hAnsi="Trebuchet MS" w:cs="Arial"/>
          <w:b/>
          <w:u w:val="single"/>
        </w:rPr>
        <w:lastRenderedPageBreak/>
        <w:t>MOTIVATION DU CHOIX DE LA PROCEDURE</w:t>
      </w:r>
    </w:p>
    <w:p>
      <w:pPr>
        <w:rPr>
          <w:rFonts w:ascii="Trebuchet MS" w:hAnsi="Trebuchet MS" w:cs="Arial"/>
          <w:b/>
          <w:u w:val="single"/>
        </w:rPr>
      </w:pPr>
    </w:p>
    <w:p>
      <w:pPr>
        <w:outlineLvl w:val="0"/>
        <w:rPr>
          <w:rFonts w:ascii="Trebuchet MS" w:hAnsi="Trebuchet MS" w:cs="Arial"/>
          <w:i/>
          <w:szCs w:val="22"/>
          <w:highlight w:val="yellow"/>
        </w:rPr>
      </w:pPr>
      <w:r>
        <w:rPr>
          <w:rFonts w:ascii="Trebuchet MS" w:hAnsi="Trebuchet MS" w:cs="Arial"/>
          <w:i/>
          <w:szCs w:val="22"/>
          <w:highlight w:val="yellow"/>
        </w:rPr>
        <w:t>Nom du dossier</w:t>
      </w:r>
    </w:p>
    <w:p>
      <w:pPr>
        <w:rPr>
          <w:rFonts w:ascii="Trebuchet MS" w:hAnsi="Trebuchet MS" w:cs="Arial"/>
          <w:i/>
          <w:szCs w:val="22"/>
        </w:rPr>
      </w:pPr>
      <w:r>
        <w:rPr>
          <w:rFonts w:ascii="Trebuchet MS" w:hAnsi="Trebuchet MS" w:cs="Arial"/>
          <w:i/>
          <w:szCs w:val="22"/>
          <w:highlight w:val="yellow"/>
        </w:rPr>
        <w:t>Adresse</w:t>
      </w:r>
    </w:p>
    <w:p>
      <w:pPr>
        <w:rPr>
          <w:rFonts w:ascii="Trebuchet MS" w:hAnsi="Trebuchet MS" w:cs="Arial"/>
          <w:szCs w:val="22"/>
        </w:rPr>
      </w:pPr>
    </w:p>
    <w:p>
      <w:pPr>
        <w:rPr>
          <w:rFonts w:ascii="Trebuchet MS" w:hAnsi="Trebuchet MS" w:cs="Arial"/>
          <w:szCs w:val="22"/>
        </w:rPr>
      </w:pPr>
    </w:p>
    <w:p>
      <w:pPr>
        <w:jc w:val="both"/>
        <w:rPr>
          <w:rFonts w:ascii="Trebuchet MS" w:hAnsi="Trebuchet MS"/>
        </w:rPr>
      </w:pPr>
      <w:r>
        <w:rPr>
          <w:rFonts w:ascii="Trebuchet MS" w:hAnsi="Trebuchet MS"/>
        </w:rPr>
        <w:t>Vu la loi du 17 juin 2016 relative aux marchés publics et à certains marchés de travaux, fournitures et de services, notamment l’article article 42, §1, 1°, a), permettant de recourir à une procédure négociée sans publication préalable pour un marché de services et dont le montant estimé hors taxe sur la valeur ajoutée est inférieur aux montants fixés par le Roi;</w:t>
      </w:r>
    </w:p>
    <w:p>
      <w:pPr>
        <w:jc w:val="both"/>
        <w:rPr>
          <w:rFonts w:ascii="Trebuchet MS" w:hAnsi="Trebuchet MS"/>
        </w:rPr>
      </w:pPr>
    </w:p>
    <w:p>
      <w:pPr>
        <w:jc w:val="both"/>
        <w:rPr>
          <w:rFonts w:ascii="Trebuchet MS" w:hAnsi="Trebuchet MS"/>
          <w:vertAlign w:val="superscript"/>
        </w:rPr>
      </w:pPr>
      <w:r>
        <w:rPr>
          <w:rFonts w:ascii="Trebuchet MS" w:hAnsi="Trebuchet MS"/>
        </w:rPr>
        <w:t xml:space="preserve">Vu l’A.R. du 18 avril 2017 relatif aux marchés publics de travaux, de fournitures et de services et aux concessions de travaux publics, notamment l’article 90, 1°, fixant le minimum du montant estimé des marchés soumis à publicité (soit 140.000 € HTVA) et que le montant estimé du marché est de </w:t>
      </w:r>
      <w:r>
        <w:rPr>
          <w:rFonts w:ascii="Trebuchet MS" w:hAnsi="Trebuchet MS"/>
          <w:highlight w:val="yellow"/>
        </w:rPr>
        <w:t xml:space="preserve">X.XXX.XXX </w:t>
      </w:r>
      <w:r>
        <w:rPr>
          <w:rStyle w:val="Marquedecommentaire"/>
          <w:rFonts w:ascii="Trebuchet MS" w:hAnsi="Trebuchet MS"/>
          <w:highlight w:val="yellow"/>
        </w:rPr>
        <w:annotationRef/>
      </w:r>
      <w:r>
        <w:rPr>
          <w:rFonts w:ascii="Trebuchet MS" w:hAnsi="Trebuchet MS"/>
          <w:highlight w:val="yellow"/>
        </w:rPr>
        <w:t>€,</w:t>
      </w:r>
      <w:r>
        <w:rPr>
          <w:rFonts w:ascii="Trebuchet MS" w:hAnsi="Trebuchet MS"/>
        </w:rPr>
        <w:t xml:space="preserve"> qu’il ne dépasse donc pas le seuil de publicité ;</w:t>
      </w:r>
    </w:p>
    <w:p>
      <w:pPr>
        <w:jc w:val="both"/>
        <w:rPr>
          <w:rFonts w:ascii="Trebuchet MS" w:hAnsi="Trebuchet MS"/>
        </w:rPr>
      </w:pPr>
    </w:p>
    <w:p>
      <w:pPr>
        <w:jc w:val="both"/>
        <w:rPr>
          <w:rFonts w:ascii="Trebuchet MS" w:hAnsi="Trebuchet MS"/>
        </w:rPr>
      </w:pPr>
      <w:r>
        <w:rPr>
          <w:rFonts w:ascii="Trebuchet MS" w:hAnsi="Trebuchet MS"/>
        </w:rPr>
        <w:t>Le choix est la procédure négociée sans publication préalable, sur base de l’article 42, §1, 1°, a) de la loi du 17 juin 2016.</w:t>
      </w:r>
    </w:p>
    <w:sectPr>
      <w:pgSz w:w="11906" w:h="16838"/>
      <w:pgMar w:top="993"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Cellule architecture" w:date="2020-02-05T11:36:00Z" w:initials="CellArchi">
    <w:p>
      <w:pPr>
        <w:pStyle w:val="Commentaire"/>
      </w:pPr>
      <w:r>
        <w:rPr>
          <w:rStyle w:val="Marquedecommentaire"/>
        </w:rPr>
        <w:annotationRef/>
      </w:r>
      <w:r>
        <w:t>Cette motivation du choix de la procédure de passation du marché de services fait partie de la décision de « lancer le marché » prise par l’autorité.</w:t>
      </w:r>
    </w:p>
    <w:p>
      <w:pPr>
        <w:pStyle w:val="Commentaire"/>
      </w:pPr>
      <w:r>
        <w:t>Elle est à approuver en principe en même temps que le projet d’avis de marché.</w:t>
      </w:r>
    </w:p>
    <w:p>
      <w:pPr>
        <w:pStyle w:val="Commentaire"/>
      </w:pPr>
      <w:r>
        <w:t xml:space="preserve">(Commune : compétence du </w:t>
      </w:r>
      <w:r>
        <w:rPr>
          <w:u w:val="single"/>
        </w:rPr>
        <w:t>Conseil</w:t>
      </w:r>
      <w:r>
        <w:t xml:space="preserve"> communal)</w:t>
      </w:r>
    </w:p>
    <w:p>
      <w:pPr>
        <w:pStyle w:val="Commentaire"/>
      </w:pPr>
    </w:p>
    <w:p>
      <w:pPr>
        <w:pStyle w:val="Commentaire"/>
      </w:pPr>
      <w:r>
        <w:t>Cette décision s’assortira d’une inscription au budget de tous les frais liés à ce marché de services :</w:t>
      </w:r>
    </w:p>
    <w:p>
      <w:pPr>
        <w:pStyle w:val="Commentaire"/>
      </w:pPr>
      <w:r>
        <w:t>- frais liés à la passation : défraiement experts jury, dédommagement des offres, … (à prévoir a priori dans l’année)</w:t>
      </w:r>
      <w:bookmarkStart w:id="3" w:name="_GoBack"/>
      <w:bookmarkEnd w:id="3"/>
    </w:p>
    <w:p>
      <w:pPr>
        <w:pStyle w:val="Commentaire"/>
      </w:pPr>
      <w:r>
        <w:t xml:space="preserve">- frais liés à l’exécution : honoraires de l’auteur de projet (à répartir sur les années ultérieures -&gt; voir dans le </w:t>
      </w:r>
      <w:hyperlink r:id="rId1" w:history="1">
        <w:r>
          <w:rPr>
            <w:rStyle w:val="Lienhypertexte"/>
          </w:rPr>
          <w:t>cahier des charges type</w:t>
        </w:r>
      </w:hyperlink>
      <w:r>
        <w:t xml:space="preserve"> le fractionnement des honoraires point 26 et les délais prévisionnels point 22).</w:t>
      </w:r>
    </w:p>
  </w:comment>
  <w:comment w:id="4" w:author="GUISSE Sabine" w:date="2017-08-24T11:45:00Z" w:initials="GS">
    <w:p>
      <w:pPr>
        <w:pStyle w:val="Commentaire"/>
      </w:pPr>
      <w:r>
        <w:rPr>
          <w:rStyle w:val="Marquedecommentaire"/>
        </w:rPr>
        <w:annotationRef/>
      </w:r>
      <w:r>
        <w:t>si publicité belge</w:t>
      </w:r>
    </w:p>
  </w:comment>
  <w:comment w:id="5" w:author="GUISSE Sabine" w:date="2017-08-24T11:48:00Z" w:initials="GS">
    <w:p>
      <w:pPr>
        <w:pStyle w:val="Commentaire"/>
      </w:pPr>
      <w:r>
        <w:rPr>
          <w:rStyle w:val="Marquedecommentaire"/>
        </w:rPr>
        <w:annotationRef/>
      </w:r>
      <w:r>
        <w:t>si publicité belge</w:t>
      </w:r>
    </w:p>
  </w:comment>
  <w:comment w:id="6" w:author="GUISSE Sabine" w:date="2017-08-24T11:45:00Z" w:initials="GS">
    <w:p>
      <w:pPr>
        <w:pStyle w:val="Commentaire"/>
      </w:pPr>
      <w:r>
        <w:rPr>
          <w:rStyle w:val="Marquedecommentaire"/>
        </w:rPr>
        <w:annotationRef/>
      </w:r>
      <w:r>
        <w:t>si publicité belge</w:t>
      </w:r>
    </w:p>
  </w:comment>
  <w:comment w:id="7" w:author="Cellule architecture" w:date="2019-03-19T17:38:00Z" w:initials="CellArchi">
    <w:p>
      <w:pPr>
        <w:pStyle w:val="Commentaire"/>
      </w:pPr>
      <w:r>
        <w:rPr>
          <w:rStyle w:val="Marquedecommentaire"/>
        </w:rPr>
        <w:annotationRef/>
      </w:r>
      <w:r>
        <w:t>Le cas échéant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3349"/>
    <w:multiLevelType w:val="hybridMultilevel"/>
    <w:tmpl w:val="8C7CF210"/>
    <w:lvl w:ilvl="0" w:tplc="20FE1F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F575103"/>
    <w:multiLevelType w:val="hybridMultilevel"/>
    <w:tmpl w:val="281AEB00"/>
    <w:lvl w:ilvl="0" w:tplc="20FE1F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811582C"/>
    <w:multiLevelType w:val="hybridMultilevel"/>
    <w:tmpl w:val="9CA4BFC0"/>
    <w:lvl w:ilvl="0" w:tplc="20FE1F8A">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15:restartNumberingAfterBreak="0">
    <w:nsid w:val="5BC27DFD"/>
    <w:multiLevelType w:val="hybridMultilevel"/>
    <w:tmpl w:val="2A964046"/>
    <w:lvl w:ilvl="0" w:tplc="BB9E181C">
      <w:numFmt w:val="bullet"/>
      <w:lvlText w:val="-"/>
      <w:lvlJc w:val="left"/>
      <w:pPr>
        <w:ind w:left="1068" w:hanging="360"/>
      </w:pPr>
      <w:rPr>
        <w:rFonts w:ascii="Trebuchet MS" w:eastAsia="Times New Roman" w:hAnsi="Trebuchet MS"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rson w15:author="GUISSE Sabine">
    <w15:presenceInfo w15:providerId="AD" w15:userId="S-1-5-21-1759653605-1313832288-709122288-86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9EB7C5-AB38-45C6-AFF5-452A8517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Tahoma" w:hAnsi="Tahoma" w:cs="Tahoma"/>
      <w:sz w:val="20"/>
      <w:szCs w:val="20"/>
    </w:rPr>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semiHidden/>
    <w:rPr>
      <w:rFonts w:ascii="Tahoma" w:hAnsi="Tahoma" w:cs="Tahoma"/>
      <w:sz w:val="16"/>
      <w:szCs w:val="16"/>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semiHidden/>
    <w:rPr>
      <w:b/>
      <w:bCs/>
    </w:rPr>
  </w:style>
  <w:style w:type="character" w:customStyle="1" w:styleId="CommentaireCar">
    <w:name w:val="Commentaire Car"/>
    <w:basedOn w:val="Policepardfaut"/>
    <w:link w:val="Commentaire"/>
    <w:semiHidden/>
    <w:locked/>
    <w:rPr>
      <w:lang w:val="fr-FR" w:eastAsia="fr-FR" w:bidi="ar-SA"/>
    </w:rPr>
  </w:style>
  <w:style w:type="paragraph" w:styleId="Notedefin">
    <w:name w:val="endnote text"/>
    <w:basedOn w:val="Normal"/>
    <w:link w:val="NotedefinCar"/>
    <w:pPr>
      <w:jc w:val="both"/>
    </w:pPr>
    <w:rPr>
      <w:rFonts w:ascii="Arial" w:hAnsi="Arial"/>
      <w:sz w:val="20"/>
      <w:szCs w:val="20"/>
    </w:rPr>
  </w:style>
  <w:style w:type="character" w:customStyle="1" w:styleId="NotedefinCar">
    <w:name w:val="Note de fin Car"/>
    <w:basedOn w:val="Policepardfaut"/>
    <w:link w:val="Notedefin"/>
    <w:rPr>
      <w:rFonts w:ascii="Arial" w:hAnsi="Arial"/>
      <w:lang w:val="fr-FR" w:eastAsia="fr-FR"/>
    </w:rPr>
  </w:style>
  <w:style w:type="character" w:styleId="Appeldenotedefin">
    <w:name w:val="endnote reference"/>
    <w:basedOn w:val="Policepardfaut"/>
    <w:rPr>
      <w:vertAlign w:val="superscript"/>
    </w:rPr>
  </w:style>
  <w:style w:type="paragraph" w:styleId="Paragraphedeliste">
    <w:name w:val="List Paragraph"/>
    <w:basedOn w:val="Normal"/>
    <w:uiPriority w:val="34"/>
    <w:qFormat/>
    <w:pPr>
      <w:ind w:left="720"/>
      <w:contextualSpacing/>
    </w:pPr>
  </w:style>
  <w:style w:type="character" w:styleId="Lienhypertexte">
    <w:name w:val="Hyperlink"/>
    <w:basedOn w:val="Policepardfaut"/>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marchesdarchitecture.be/libs/dbfiles/doc_CdCtype.docx"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537</Words>
  <Characters>2958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PROCEDURE NEGOCIEE AVEC PUBLICITE EUROPEENNE</vt:lpstr>
    </vt:vector>
  </TitlesOfParts>
  <Company>CFWB</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NEGOCIEE AVEC PUBLICITE EUROPEENNE</dc:title>
  <dc:creator>CFWB</dc:creator>
  <cp:lastModifiedBy>Cellule architecture</cp:lastModifiedBy>
  <cp:revision>35</cp:revision>
  <cp:lastPrinted>2009-05-14T10:43:00Z</cp:lastPrinted>
  <dcterms:created xsi:type="dcterms:W3CDTF">2016-03-23T09:37:00Z</dcterms:created>
  <dcterms:modified xsi:type="dcterms:W3CDTF">2022-07-28T16:40:00Z</dcterms:modified>
</cp:coreProperties>
</file>