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732A" w14:textId="77777777" w:rsidR="001109F2" w:rsidRDefault="00992AE1">
      <w:pPr>
        <w:jc w:val="center"/>
        <w:outlineLvl w:val="0"/>
        <w:rPr>
          <w:rFonts w:ascii="Trebuchet MS" w:hAnsi="Trebuchet MS" w:cs="Arial"/>
          <w:b/>
        </w:rPr>
      </w:pPr>
      <w:commentRangeStart w:id="0"/>
      <w:r>
        <w:rPr>
          <w:rFonts w:ascii="Trebuchet MS" w:hAnsi="Trebuchet MS" w:cs="Arial"/>
          <w:b/>
        </w:rPr>
        <w:t>DECISION : LANCEMENT D’UN MARCHE DE SERVICES d’AUTEUR DE PROJET</w:t>
      </w:r>
    </w:p>
    <w:p w14:paraId="65B50280" w14:textId="77777777" w:rsidR="001109F2" w:rsidRDefault="00992AE1">
      <w:pPr>
        <w:jc w:val="center"/>
        <w:outlineLvl w:val="0"/>
        <w:rPr>
          <w:rFonts w:ascii="Trebuchet MS" w:hAnsi="Trebuchet MS" w:cs="Arial"/>
          <w:b/>
        </w:rPr>
      </w:pPr>
      <w:commentRangeStart w:id="1"/>
      <w:r>
        <w:rPr>
          <w:rFonts w:ascii="Trebuchet MS" w:hAnsi="Trebuchet MS" w:cs="Arial"/>
          <w:b/>
        </w:rPr>
        <w:t xml:space="preserve">PROCEDURE </w:t>
      </w:r>
      <w:commentRangeEnd w:id="1"/>
      <w:r>
        <w:rPr>
          <w:rStyle w:val="Marquedecommentaire"/>
        </w:rPr>
        <w:commentReference w:id="1"/>
      </w:r>
      <w:commentRangeStart w:id="2"/>
      <w:r>
        <w:rPr>
          <w:rFonts w:ascii="Trebuchet MS" w:hAnsi="Trebuchet MS" w:cs="Arial"/>
          <w:b/>
          <w:color w:val="CC9900"/>
        </w:rPr>
        <w:t>CONCURENTIELLE AVEC NEGOCIATION</w:t>
      </w:r>
      <w:commentRangeEnd w:id="0"/>
      <w:r>
        <w:rPr>
          <w:rStyle w:val="Marquedecommentaire"/>
          <w:color w:val="CC9900"/>
        </w:rPr>
        <w:commentReference w:id="0"/>
      </w:r>
      <w:commentRangeEnd w:id="2"/>
      <w:r>
        <w:rPr>
          <w:rStyle w:val="Marquedecommentaire"/>
        </w:rPr>
        <w:commentReference w:id="2"/>
      </w:r>
    </w:p>
    <w:p w14:paraId="6C2DC63C" w14:textId="77777777" w:rsidR="001109F2" w:rsidRDefault="001109F2">
      <w:pPr>
        <w:jc w:val="center"/>
        <w:outlineLvl w:val="0"/>
        <w:rPr>
          <w:rFonts w:ascii="Trebuchet MS" w:hAnsi="Trebuchet MS" w:cs="Arial"/>
          <w:b/>
        </w:rPr>
      </w:pPr>
    </w:p>
    <w:p w14:paraId="331ACE8E" w14:textId="77777777" w:rsidR="001109F2" w:rsidRDefault="00992AE1">
      <w:pPr>
        <w:jc w:val="center"/>
        <w:rPr>
          <w:rFonts w:ascii="Trebuchet MS" w:hAnsi="Trebuchet MS" w:cs="Arial"/>
          <w:szCs w:val="22"/>
        </w:rPr>
      </w:pPr>
      <w:r>
        <w:rPr>
          <w:rFonts w:ascii="Trebuchet MS" w:hAnsi="Trebuchet MS" w:cs="Arial"/>
          <w:szCs w:val="22"/>
        </w:rPr>
        <w:t xml:space="preserve">Marché de services pour la désignation </w:t>
      </w:r>
      <w:proofErr w:type="gramStart"/>
      <w:r>
        <w:rPr>
          <w:rFonts w:ascii="Trebuchet MS" w:hAnsi="Trebuchet MS" w:cs="Arial"/>
          <w:szCs w:val="22"/>
        </w:rPr>
        <w:t>d’</w:t>
      </w:r>
      <w:proofErr w:type="spellStart"/>
      <w:r>
        <w:rPr>
          <w:rFonts w:ascii="Trebuchet MS" w:hAnsi="Trebuchet MS" w:cs="Arial"/>
          <w:szCs w:val="22"/>
        </w:rPr>
        <w:t>un.e</w:t>
      </w:r>
      <w:proofErr w:type="spellEnd"/>
      <w:proofErr w:type="gramEnd"/>
      <w:r>
        <w:rPr>
          <w:rFonts w:ascii="Trebuchet MS" w:hAnsi="Trebuchet MS" w:cs="Arial"/>
          <w:szCs w:val="22"/>
        </w:rPr>
        <w:t xml:space="preserve"> </w:t>
      </w:r>
      <w:proofErr w:type="spellStart"/>
      <w:r>
        <w:rPr>
          <w:rFonts w:ascii="Trebuchet MS" w:hAnsi="Trebuchet MS" w:cs="Arial"/>
          <w:szCs w:val="22"/>
        </w:rPr>
        <w:t>auteur.e</w:t>
      </w:r>
      <w:proofErr w:type="spellEnd"/>
      <w:r>
        <w:rPr>
          <w:rFonts w:ascii="Trebuchet MS" w:hAnsi="Trebuchet MS" w:cs="Arial"/>
          <w:szCs w:val="22"/>
        </w:rPr>
        <w:t xml:space="preserve"> de projet en vue de l'étude et du suivi de l'exécution des travaux de </w:t>
      </w:r>
      <w:proofErr w:type="spellStart"/>
      <w:r>
        <w:rPr>
          <w:rFonts w:ascii="Trebuchet MS" w:hAnsi="Trebuchet MS" w:cs="Arial"/>
          <w:color w:val="CC9900"/>
          <w:szCs w:val="22"/>
        </w:rPr>
        <w:t>xxxxxxx</w:t>
      </w:r>
      <w:proofErr w:type="spellEnd"/>
      <w:r>
        <w:rPr>
          <w:rFonts w:ascii="Trebuchet MS" w:hAnsi="Trebuchet MS" w:cs="Arial"/>
          <w:color w:val="CC9900"/>
          <w:szCs w:val="22"/>
        </w:rPr>
        <w:t xml:space="preserve">  objet du marché  </w:t>
      </w:r>
      <w:proofErr w:type="spellStart"/>
      <w:r>
        <w:rPr>
          <w:rFonts w:ascii="Trebuchet MS" w:hAnsi="Trebuchet MS" w:cs="Arial"/>
          <w:color w:val="CC9900"/>
          <w:szCs w:val="22"/>
        </w:rPr>
        <w:t>xxxxxxxxxxxxxx</w:t>
      </w:r>
      <w:proofErr w:type="spellEnd"/>
      <w:r>
        <w:rPr>
          <w:rFonts w:ascii="Trebuchet MS" w:hAnsi="Trebuchet MS" w:cs="Arial"/>
          <w:color w:val="CC9900"/>
          <w:szCs w:val="22"/>
        </w:rPr>
        <w:t xml:space="preserve"> </w:t>
      </w:r>
    </w:p>
    <w:p w14:paraId="2672E0A6" w14:textId="29007F71" w:rsidR="001109F2" w:rsidRDefault="00992AE1">
      <w:pPr>
        <w:jc w:val="center"/>
        <w:rPr>
          <w:rFonts w:ascii="Trebuchet MS" w:hAnsi="Trebuchet MS" w:cs="Arial"/>
          <w:i/>
          <w:szCs w:val="22"/>
        </w:rPr>
      </w:pPr>
      <w:proofErr w:type="gramStart"/>
      <w:r>
        <w:rPr>
          <w:rFonts w:ascii="Trebuchet MS" w:hAnsi="Trebuchet MS" w:cs="Arial"/>
          <w:szCs w:val="22"/>
        </w:rPr>
        <w:t>sis</w:t>
      </w:r>
      <w:proofErr w:type="gramEnd"/>
      <w:r>
        <w:rPr>
          <w:rFonts w:ascii="Trebuchet MS" w:hAnsi="Trebuchet MS" w:cs="Arial"/>
          <w:i/>
          <w:szCs w:val="22"/>
        </w:rPr>
        <w:t xml:space="preserve"> </w:t>
      </w:r>
      <w:proofErr w:type="spellStart"/>
      <w:r>
        <w:rPr>
          <w:rFonts w:ascii="Trebuchet MS" w:hAnsi="Trebuchet MS" w:cs="Arial"/>
          <w:i/>
          <w:color w:val="CC9900"/>
          <w:szCs w:val="22"/>
        </w:rPr>
        <w:t>xxxxxxxxxxx</w:t>
      </w:r>
      <w:proofErr w:type="spellEnd"/>
      <w:r>
        <w:rPr>
          <w:rFonts w:ascii="Trebuchet MS" w:hAnsi="Trebuchet MS" w:cs="Arial"/>
          <w:i/>
          <w:color w:val="CC9900"/>
          <w:szCs w:val="22"/>
        </w:rPr>
        <w:t xml:space="preserve">  adresse  </w:t>
      </w:r>
      <w:proofErr w:type="spellStart"/>
      <w:r>
        <w:rPr>
          <w:rFonts w:ascii="Trebuchet MS" w:hAnsi="Trebuchet MS" w:cs="Arial"/>
          <w:i/>
          <w:color w:val="CC9900"/>
          <w:szCs w:val="22"/>
        </w:rPr>
        <w:t>xxxxxxxxxx</w:t>
      </w:r>
      <w:proofErr w:type="spellEnd"/>
    </w:p>
    <w:p w14:paraId="20210996" w14:textId="77777777" w:rsidR="001109F2" w:rsidRDefault="001109F2">
      <w:pPr>
        <w:jc w:val="both"/>
        <w:rPr>
          <w:rFonts w:ascii="Trebuchet MS" w:hAnsi="Trebuchet MS"/>
        </w:rPr>
      </w:pPr>
    </w:p>
    <w:p w14:paraId="2E798BB2" w14:textId="77777777" w:rsidR="001109F2" w:rsidRDefault="00992AE1">
      <w:pPr>
        <w:jc w:val="both"/>
        <w:rPr>
          <w:rFonts w:ascii="Trebuchet MS" w:hAnsi="Trebuchet MS"/>
          <w:b/>
        </w:rPr>
      </w:pPr>
      <w:r>
        <w:rPr>
          <w:rFonts w:ascii="Trebuchet MS" w:hAnsi="Trebuchet MS"/>
          <w:b/>
        </w:rPr>
        <w:t>Contexte</w:t>
      </w:r>
    </w:p>
    <w:p w14:paraId="07F0FB18" w14:textId="77777777" w:rsidR="001109F2" w:rsidRDefault="001109F2">
      <w:pPr>
        <w:jc w:val="both"/>
        <w:rPr>
          <w:rFonts w:ascii="Trebuchet MS" w:hAnsi="Trebuchet MS"/>
        </w:rPr>
      </w:pPr>
    </w:p>
    <w:p w14:paraId="42DD6983" w14:textId="77777777" w:rsidR="001109F2" w:rsidRDefault="00992AE1">
      <w:pPr>
        <w:jc w:val="both"/>
        <w:rPr>
          <w:rFonts w:ascii="Trebuchet MS" w:hAnsi="Trebuchet MS"/>
          <w:color w:val="CC9900"/>
        </w:rPr>
      </w:pPr>
      <w:r>
        <w:rPr>
          <w:rFonts w:ascii="Trebuchet MS" w:hAnsi="Trebuchet MS"/>
        </w:rPr>
        <w:t xml:space="preserve">Etant donné que </w:t>
      </w:r>
      <w:r>
        <w:rPr>
          <w:rFonts w:ascii="Trebuchet MS" w:hAnsi="Trebuchet MS"/>
          <w:color w:val="CC9900"/>
        </w:rPr>
        <w:t xml:space="preserve">le bâtiment de </w:t>
      </w:r>
      <w:proofErr w:type="spellStart"/>
      <w:r>
        <w:rPr>
          <w:rFonts w:ascii="Trebuchet MS" w:hAnsi="Trebuchet MS"/>
          <w:color w:val="CC9900"/>
        </w:rPr>
        <w:t>xxxxxxx</w:t>
      </w:r>
      <w:proofErr w:type="spellEnd"/>
      <w:r>
        <w:rPr>
          <w:rFonts w:ascii="Trebuchet MS" w:hAnsi="Trebuchet MS"/>
          <w:color w:val="CC9900"/>
        </w:rPr>
        <w:t xml:space="preserve">, actuellement insalubre, nécessite une rénovation et transformation d’ensemble incluant la rénovation énergétique du bâtiment, une mise en conformité et sa restructuration en vue de </w:t>
      </w:r>
      <w:proofErr w:type="spellStart"/>
      <w:proofErr w:type="gramStart"/>
      <w:r>
        <w:rPr>
          <w:rFonts w:ascii="Trebuchet MS" w:hAnsi="Trebuchet MS"/>
          <w:color w:val="CC9900"/>
        </w:rPr>
        <w:t>xxxxxxxxx</w:t>
      </w:r>
      <w:proofErr w:type="spellEnd"/>
      <w:r>
        <w:rPr>
          <w:rFonts w:ascii="Trebuchet MS" w:hAnsi="Trebuchet MS"/>
          <w:color w:val="CC9900"/>
        </w:rPr>
        <w:t>;</w:t>
      </w:r>
      <w:proofErr w:type="gramEnd"/>
    </w:p>
    <w:p w14:paraId="43259D5B" w14:textId="77777777" w:rsidR="001109F2" w:rsidRDefault="001109F2">
      <w:pPr>
        <w:autoSpaceDE w:val="0"/>
        <w:autoSpaceDN w:val="0"/>
        <w:adjustRightInd w:val="0"/>
        <w:rPr>
          <w:rFonts w:ascii="Trebuchet MS" w:hAnsi="Trebuchet MS"/>
        </w:rPr>
      </w:pPr>
    </w:p>
    <w:p w14:paraId="151292F0" w14:textId="3BFD0A2F" w:rsidR="001109F2" w:rsidRDefault="00992AE1">
      <w:pPr>
        <w:autoSpaceDE w:val="0"/>
        <w:autoSpaceDN w:val="0"/>
        <w:adjustRightInd w:val="0"/>
        <w:rPr>
          <w:rFonts w:ascii="Trebuchet MS" w:hAnsi="Trebuchet MS"/>
        </w:rPr>
      </w:pPr>
      <w:r>
        <w:rPr>
          <w:rFonts w:ascii="Trebuchet MS" w:hAnsi="Trebuchet MS"/>
        </w:rPr>
        <w:t xml:space="preserve">Etant donné qu’à ce stade, le montant des </w:t>
      </w:r>
      <w:r>
        <w:rPr>
          <w:rFonts w:ascii="Trebuchet MS" w:hAnsi="Trebuchet MS"/>
          <w:u w:val="single"/>
        </w:rPr>
        <w:t>travaux</w:t>
      </w:r>
      <w:r>
        <w:rPr>
          <w:rFonts w:ascii="Trebuchet MS" w:hAnsi="Trebuchet MS"/>
        </w:rPr>
        <w:t xml:space="preserve"> du projet (hors option exigée le cas échéant) est estimé à </w:t>
      </w:r>
      <w:proofErr w:type="spellStart"/>
      <w:r>
        <w:rPr>
          <w:rFonts w:ascii="Trebuchet MS" w:hAnsi="Trebuchet MS"/>
          <w:color w:val="CC9900"/>
        </w:rPr>
        <w:t>xxxxxxx</w:t>
      </w:r>
      <w:proofErr w:type="spellEnd"/>
      <w:r>
        <w:rPr>
          <w:rFonts w:ascii="Trebuchet MS" w:hAnsi="Trebuchet MS"/>
          <w:color w:val="CC9900"/>
        </w:rPr>
        <w:t xml:space="preserve"> </w:t>
      </w:r>
      <w:r>
        <w:rPr>
          <w:rFonts w:ascii="Trebuchet MS" w:hAnsi="Trebuchet MS"/>
        </w:rPr>
        <w:t xml:space="preserve">€ </w:t>
      </w:r>
      <w:commentRangeStart w:id="3"/>
      <w:r>
        <w:rPr>
          <w:rFonts w:ascii="Trebuchet MS" w:hAnsi="Trebuchet MS"/>
        </w:rPr>
        <w:t xml:space="preserve">TVAC </w:t>
      </w:r>
      <w:commentRangeEnd w:id="3"/>
      <w:r>
        <w:rPr>
          <w:rStyle w:val="Marquedecommentaire"/>
        </w:rPr>
        <w:commentReference w:id="3"/>
      </w:r>
      <w:r>
        <w:rPr>
          <w:rFonts w:ascii="Trebuchet MS" w:hAnsi="Trebuchet MS"/>
        </w:rPr>
        <w:t>et honoraires non compris</w:t>
      </w:r>
      <w:r w:rsidR="00153350">
        <w:rPr>
          <w:rFonts w:ascii="Trebuchet MS" w:hAnsi="Trebuchet MS"/>
        </w:rPr>
        <w:t xml:space="preserve"> </w:t>
      </w:r>
      <w:r>
        <w:rPr>
          <w:rFonts w:ascii="Trebuchet MS" w:hAnsi="Trebuchet MS"/>
        </w:rPr>
        <w:t>;</w:t>
      </w:r>
    </w:p>
    <w:p w14:paraId="049BC3BA" w14:textId="77777777" w:rsidR="001109F2" w:rsidRDefault="001109F2">
      <w:pPr>
        <w:autoSpaceDE w:val="0"/>
        <w:autoSpaceDN w:val="0"/>
        <w:adjustRightInd w:val="0"/>
        <w:rPr>
          <w:rFonts w:ascii="Trebuchet MS" w:hAnsi="Trebuchet MS"/>
        </w:rPr>
      </w:pPr>
    </w:p>
    <w:p w14:paraId="66B0756F" w14:textId="77777777" w:rsidR="001109F2" w:rsidRDefault="00992AE1">
      <w:pPr>
        <w:autoSpaceDE w:val="0"/>
        <w:autoSpaceDN w:val="0"/>
        <w:adjustRightInd w:val="0"/>
        <w:rPr>
          <w:rFonts w:ascii="Trebuchet MS" w:hAnsi="Trebuchet MS"/>
          <w:color w:val="CC9900"/>
        </w:rPr>
      </w:pPr>
      <w:commentRangeStart w:id="4"/>
      <w:r>
        <w:rPr>
          <w:rFonts w:ascii="Trebuchet MS" w:hAnsi="Trebuchet MS"/>
          <w:color w:val="CC9900"/>
        </w:rPr>
        <w:t xml:space="preserve">Etant donné qu’un dossier de demande de subvention pouvant couvrir jusqu’à xx% des travaux estimés a été introduit en date du </w:t>
      </w:r>
      <w:proofErr w:type="spellStart"/>
      <w:r>
        <w:rPr>
          <w:rFonts w:ascii="Trebuchet MS" w:hAnsi="Trebuchet MS"/>
          <w:color w:val="CC9900"/>
        </w:rPr>
        <w:t>xxxxxxxx</w:t>
      </w:r>
      <w:proofErr w:type="spellEnd"/>
      <w:r>
        <w:rPr>
          <w:rFonts w:ascii="Trebuchet MS" w:hAnsi="Trebuchet MS"/>
          <w:color w:val="CC9900"/>
        </w:rPr>
        <w:t xml:space="preserve"> dans le cadre de l’appel à projets </w:t>
      </w:r>
      <w:proofErr w:type="spellStart"/>
      <w:r>
        <w:rPr>
          <w:rFonts w:ascii="Trebuchet MS" w:hAnsi="Trebuchet MS"/>
          <w:color w:val="CC9900"/>
        </w:rPr>
        <w:t>xxxxxxxxxxxx</w:t>
      </w:r>
      <w:proofErr w:type="spellEnd"/>
      <w:r>
        <w:rPr>
          <w:rFonts w:ascii="Trebuchet MS" w:hAnsi="Trebuchet MS"/>
          <w:color w:val="CC9900"/>
        </w:rPr>
        <w:t>, et a été retenu ;</w:t>
      </w:r>
      <w:commentRangeEnd w:id="4"/>
      <w:r>
        <w:rPr>
          <w:rStyle w:val="Marquedecommentaire"/>
        </w:rPr>
        <w:commentReference w:id="4"/>
      </w:r>
    </w:p>
    <w:p w14:paraId="1A960C60" w14:textId="77777777" w:rsidR="001109F2" w:rsidRDefault="001109F2">
      <w:pPr>
        <w:autoSpaceDE w:val="0"/>
        <w:autoSpaceDN w:val="0"/>
        <w:adjustRightInd w:val="0"/>
        <w:rPr>
          <w:rFonts w:ascii="Trebuchet MS" w:hAnsi="Trebuchet MS"/>
        </w:rPr>
      </w:pPr>
    </w:p>
    <w:p w14:paraId="09658BAE" w14:textId="757C8244" w:rsidR="001109F2" w:rsidRDefault="00992AE1">
      <w:pPr>
        <w:autoSpaceDE w:val="0"/>
        <w:autoSpaceDN w:val="0"/>
        <w:adjustRightInd w:val="0"/>
        <w:rPr>
          <w:rFonts w:ascii="Trebuchet MS" w:hAnsi="Trebuchet MS"/>
        </w:rPr>
      </w:pPr>
      <w:r>
        <w:rPr>
          <w:rFonts w:ascii="Trebuchet MS" w:hAnsi="Trebuchet MS"/>
        </w:rPr>
        <w:t xml:space="preserve">Etant donné que le projet nécessite le lancement d’un marché de </w:t>
      </w:r>
      <w:r>
        <w:rPr>
          <w:rFonts w:ascii="Trebuchet MS" w:hAnsi="Trebuchet MS"/>
          <w:u w:val="single"/>
        </w:rPr>
        <w:t>services</w:t>
      </w:r>
      <w:r>
        <w:rPr>
          <w:rFonts w:ascii="Trebuchet MS" w:hAnsi="Trebuchet MS"/>
        </w:rPr>
        <w:t xml:space="preserve"> afin qu’un auteur de projet soit désigné au plus tôt pour avancer dans les études et, le cas échéant, si confirmation budgétaire, assumer ensuite le suivi de l’exécution des travaux</w:t>
      </w:r>
      <w:r w:rsidR="00153350">
        <w:rPr>
          <w:rFonts w:ascii="Trebuchet MS" w:hAnsi="Trebuchet MS"/>
        </w:rPr>
        <w:t xml:space="preserve"> </w:t>
      </w:r>
      <w:r>
        <w:rPr>
          <w:rFonts w:ascii="Trebuchet MS" w:hAnsi="Trebuchet MS"/>
        </w:rPr>
        <w:t>;</w:t>
      </w:r>
    </w:p>
    <w:p w14:paraId="17AC4CA8" w14:textId="77777777" w:rsidR="001109F2" w:rsidRDefault="001109F2">
      <w:pPr>
        <w:autoSpaceDE w:val="0"/>
        <w:autoSpaceDN w:val="0"/>
        <w:adjustRightInd w:val="0"/>
        <w:rPr>
          <w:rFonts w:ascii="Trebuchet MS" w:hAnsi="Trebuchet MS"/>
        </w:rPr>
      </w:pPr>
    </w:p>
    <w:p w14:paraId="48059695" w14:textId="77777777" w:rsidR="001109F2" w:rsidRDefault="00992AE1">
      <w:pPr>
        <w:autoSpaceDE w:val="0"/>
        <w:autoSpaceDN w:val="0"/>
        <w:adjustRightInd w:val="0"/>
        <w:rPr>
          <w:rFonts w:ascii="Trebuchet MS" w:hAnsi="Trebuchet MS"/>
          <w:color w:val="CC9900"/>
        </w:rPr>
      </w:pPr>
      <w:commentRangeStart w:id="5"/>
      <w:r>
        <w:rPr>
          <w:rFonts w:ascii="Trebuchet MS" w:hAnsi="Trebuchet MS"/>
          <w:color w:val="CC9900"/>
        </w:rPr>
        <w:t>Etant donné que la réalisation des travaux est conditionnée</w:t>
      </w:r>
      <w:r>
        <w:rPr>
          <w:rFonts w:ascii="ArialMT" w:hAnsi="ArialMT" w:cs="ArialMT"/>
          <w:color w:val="CC9900"/>
          <w:sz w:val="20"/>
          <w:szCs w:val="20"/>
          <w:lang w:val="fr-BE" w:eastAsia="fr-BE"/>
        </w:rPr>
        <w:t xml:space="preserve"> </w:t>
      </w:r>
      <w:r>
        <w:rPr>
          <w:rFonts w:ascii="Trebuchet MS" w:hAnsi="Trebuchet MS"/>
          <w:color w:val="CC9900"/>
        </w:rPr>
        <w:t>à l’allocation de moyens financiers supplémentaires, et qu’à ce stade le maître d’ouvrage ne peut pas s’engager à la réalisation des travaux, qui est par ailleurs conditionnée à l’engagement ferme pour les subventions précitées ;</w:t>
      </w:r>
      <w:commentRangeEnd w:id="5"/>
      <w:r>
        <w:rPr>
          <w:rStyle w:val="Marquedecommentaire"/>
        </w:rPr>
        <w:commentReference w:id="5"/>
      </w:r>
    </w:p>
    <w:p w14:paraId="196EABE5" w14:textId="77777777" w:rsidR="001109F2" w:rsidRDefault="001109F2">
      <w:pPr>
        <w:autoSpaceDE w:val="0"/>
        <w:autoSpaceDN w:val="0"/>
        <w:adjustRightInd w:val="0"/>
        <w:rPr>
          <w:rFonts w:ascii="Trebuchet MS" w:hAnsi="Trebuchet MS"/>
        </w:rPr>
      </w:pPr>
    </w:p>
    <w:p w14:paraId="45C53AE5" w14:textId="77777777" w:rsidR="001109F2" w:rsidRDefault="00992AE1">
      <w:pPr>
        <w:autoSpaceDE w:val="0"/>
        <w:autoSpaceDN w:val="0"/>
        <w:adjustRightInd w:val="0"/>
        <w:rPr>
          <w:rFonts w:ascii="Trebuchet MS" w:hAnsi="Trebuchet MS"/>
        </w:rPr>
      </w:pPr>
      <w:r>
        <w:rPr>
          <w:rFonts w:ascii="Trebuchet MS" w:hAnsi="Trebuchet MS"/>
        </w:rPr>
        <w:t xml:space="preserve">Etant donné que le marché de service d’auteur de projet proposé permet un engagement progressif du maître </w:t>
      </w:r>
      <w:proofErr w:type="gramStart"/>
      <w:r>
        <w:rPr>
          <w:rFonts w:ascii="Trebuchet MS" w:hAnsi="Trebuchet MS"/>
        </w:rPr>
        <w:t>d’ouvrage:</w:t>
      </w:r>
      <w:proofErr w:type="gramEnd"/>
      <w:r>
        <w:rPr>
          <w:rFonts w:ascii="Trebuchet MS" w:hAnsi="Trebuchet MS"/>
        </w:rPr>
        <w:t xml:space="preserve"> seule la première tranche de la mission de service est ferme, les autres sont conditionnelles;</w:t>
      </w:r>
    </w:p>
    <w:p w14:paraId="3A7140B4" w14:textId="77777777" w:rsidR="001109F2" w:rsidRDefault="001109F2">
      <w:pPr>
        <w:autoSpaceDE w:val="0"/>
        <w:autoSpaceDN w:val="0"/>
        <w:adjustRightInd w:val="0"/>
        <w:rPr>
          <w:rFonts w:ascii="Trebuchet MS" w:hAnsi="Trebuchet MS"/>
        </w:rPr>
      </w:pPr>
    </w:p>
    <w:p w14:paraId="25CC073E" w14:textId="77777777" w:rsidR="001109F2" w:rsidRDefault="00992AE1">
      <w:pPr>
        <w:autoSpaceDE w:val="0"/>
        <w:autoSpaceDN w:val="0"/>
        <w:adjustRightInd w:val="0"/>
        <w:rPr>
          <w:rFonts w:ascii="Trebuchet MS" w:hAnsi="Trebuchet MS"/>
        </w:rPr>
      </w:pPr>
      <w:r>
        <w:rPr>
          <w:rFonts w:ascii="Trebuchet MS" w:hAnsi="Trebuchet MS"/>
        </w:rPr>
        <w:t>Etant donné que la charge financière liée à cette première tranche du marché (hors option exigée le cas échéant) est estimée à</w:t>
      </w:r>
      <w:r>
        <w:rPr>
          <w:rFonts w:ascii="Trebuchet MS" w:hAnsi="Trebuchet MS"/>
          <w:color w:val="CC9900"/>
        </w:rPr>
        <w:t xml:space="preserve"> </w:t>
      </w:r>
      <w:proofErr w:type="spellStart"/>
      <w:r>
        <w:rPr>
          <w:rFonts w:ascii="Trebuchet MS" w:hAnsi="Trebuchet MS"/>
          <w:color w:val="CC9900"/>
        </w:rPr>
        <w:t>xxxxxxxxxxxxxxxx</w:t>
      </w:r>
      <w:proofErr w:type="spellEnd"/>
      <w:r>
        <w:rPr>
          <w:rFonts w:ascii="Trebuchet MS" w:hAnsi="Trebuchet MS"/>
          <w:color w:val="CC9900"/>
        </w:rPr>
        <w:t xml:space="preserve"> </w:t>
      </w:r>
      <w:r>
        <w:rPr>
          <w:rFonts w:ascii="Trebuchet MS" w:hAnsi="Trebuchet MS"/>
        </w:rPr>
        <w:t>€ TVAC ;</w:t>
      </w:r>
    </w:p>
    <w:p w14:paraId="54A70A76" w14:textId="77777777" w:rsidR="00A25B84" w:rsidRDefault="00A25B84" w:rsidP="00A25B84">
      <w:pPr>
        <w:autoSpaceDE w:val="0"/>
        <w:autoSpaceDN w:val="0"/>
        <w:adjustRightInd w:val="0"/>
        <w:rPr>
          <w:rFonts w:ascii="Trebuchet MS" w:hAnsi="Trebuchet MS"/>
        </w:rPr>
      </w:pPr>
    </w:p>
    <w:p w14:paraId="1FBA3AC7" w14:textId="6AFED707" w:rsidR="00A25B84" w:rsidRPr="00A25B84" w:rsidRDefault="00A25B84" w:rsidP="00A25B84">
      <w:pPr>
        <w:autoSpaceDE w:val="0"/>
        <w:autoSpaceDN w:val="0"/>
        <w:adjustRightInd w:val="0"/>
        <w:rPr>
          <w:rFonts w:ascii="Trebuchet MS" w:hAnsi="Trebuchet MS"/>
          <w:color w:val="CC9900"/>
        </w:rPr>
      </w:pPr>
      <w:commentRangeStart w:id="6"/>
      <w:r w:rsidRPr="00A25B84">
        <w:rPr>
          <w:rFonts w:ascii="Trebuchet MS" w:hAnsi="Trebuchet MS"/>
          <w:color w:val="CC9900"/>
        </w:rPr>
        <w:t>Etant donné qu’en sus le marché prévoit la remise d’une option exigée (</w:t>
      </w:r>
      <w:r>
        <w:rPr>
          <w:rFonts w:ascii="Trebuchet MS" w:hAnsi="Trebuchet MS"/>
          <w:color w:val="CC9900"/>
        </w:rPr>
        <w:t xml:space="preserve">conception et suivi de l’exécution de </w:t>
      </w:r>
      <w:proofErr w:type="spellStart"/>
      <w:r w:rsidRPr="00A25B84">
        <w:rPr>
          <w:rFonts w:ascii="Trebuchet MS" w:hAnsi="Trebuchet MS"/>
          <w:color w:val="CC9900"/>
        </w:rPr>
        <w:t>xxxxxxxxxxxxxxxxxxxxxxxxx</w:t>
      </w:r>
      <w:proofErr w:type="spellEnd"/>
      <w:r w:rsidRPr="00A25B84">
        <w:rPr>
          <w:rFonts w:ascii="Trebuchet MS" w:hAnsi="Trebuchet MS"/>
          <w:color w:val="CC9900"/>
        </w:rPr>
        <w:t>) que l’adjudicateur sera libre d’activer ou non à l’entame ou durant l’exécution de la mission et qui ne l’engage dès lors aucunement à ce stade ;</w:t>
      </w:r>
      <w:commentRangeEnd w:id="6"/>
      <w:r>
        <w:rPr>
          <w:rStyle w:val="Marquedecommentaire"/>
        </w:rPr>
        <w:commentReference w:id="6"/>
      </w:r>
    </w:p>
    <w:p w14:paraId="1F3EA4CD" w14:textId="77777777" w:rsidR="001109F2" w:rsidRDefault="001109F2">
      <w:pPr>
        <w:autoSpaceDE w:val="0"/>
        <w:autoSpaceDN w:val="0"/>
        <w:adjustRightInd w:val="0"/>
        <w:rPr>
          <w:rFonts w:ascii="Trebuchet MS" w:hAnsi="Trebuchet MS"/>
        </w:rPr>
      </w:pPr>
    </w:p>
    <w:p w14:paraId="0880F7A2" w14:textId="77777777" w:rsidR="00A25B84" w:rsidRDefault="00A25B84" w:rsidP="00A25B84">
      <w:pPr>
        <w:autoSpaceDE w:val="0"/>
        <w:autoSpaceDN w:val="0"/>
        <w:adjustRightInd w:val="0"/>
        <w:rPr>
          <w:rFonts w:ascii="Trebuchet MS" w:hAnsi="Trebuchet MS"/>
          <w:color w:val="CC9900"/>
        </w:rPr>
      </w:pPr>
      <w:commentRangeStart w:id="7"/>
      <w:r>
        <w:rPr>
          <w:rFonts w:ascii="Trebuchet MS" w:hAnsi="Trebuchet MS"/>
          <w:color w:val="CC9900"/>
        </w:rPr>
        <w:t xml:space="preserve">Etant donné que le marché de services prévoit dans la mission de l’adjudicataire la coordination d’un prestataire externe (artiste sous contrat distinct) en application du décret du 10.5.1984 relatif à l'intégration d'œuvres d'art dans les bâtiments publics et que dès lors il s’agit d’également prévoir un budget collatéral de minimum </w:t>
      </w:r>
      <w:proofErr w:type="spellStart"/>
      <w:r>
        <w:rPr>
          <w:rFonts w:ascii="Trebuchet MS" w:hAnsi="Trebuchet MS"/>
          <w:color w:val="CC9900"/>
        </w:rPr>
        <w:t>xxxxxxxxxxxxxxxx</w:t>
      </w:r>
      <w:proofErr w:type="spellEnd"/>
      <w:r>
        <w:rPr>
          <w:rFonts w:ascii="Trebuchet MS" w:hAnsi="Trebuchet MS"/>
          <w:color w:val="CC9900"/>
        </w:rPr>
        <w:t xml:space="preserve"> € TVAC en vue de la réalisation de cette intégration œuvre d’art ;</w:t>
      </w:r>
      <w:commentRangeEnd w:id="7"/>
      <w:r>
        <w:rPr>
          <w:rStyle w:val="Marquedecommentaire"/>
        </w:rPr>
        <w:commentReference w:id="7"/>
      </w:r>
    </w:p>
    <w:p w14:paraId="414506B1" w14:textId="77777777" w:rsidR="001109F2" w:rsidRDefault="001109F2">
      <w:pPr>
        <w:autoSpaceDE w:val="0"/>
        <w:autoSpaceDN w:val="0"/>
        <w:adjustRightInd w:val="0"/>
        <w:rPr>
          <w:rFonts w:ascii="Trebuchet MS" w:hAnsi="Trebuchet MS"/>
        </w:rPr>
      </w:pPr>
    </w:p>
    <w:p w14:paraId="101E9350" w14:textId="77777777" w:rsidR="001109F2" w:rsidRDefault="00992AE1">
      <w:pPr>
        <w:autoSpaceDE w:val="0"/>
        <w:autoSpaceDN w:val="0"/>
        <w:adjustRightInd w:val="0"/>
        <w:rPr>
          <w:rFonts w:ascii="Trebuchet MS" w:hAnsi="Trebuchet MS"/>
        </w:rPr>
      </w:pPr>
      <w:r>
        <w:rPr>
          <w:rFonts w:ascii="Trebuchet MS" w:hAnsi="Trebuchet MS"/>
        </w:rPr>
        <w:t xml:space="preserve">Etant donné que la charge financière collatérale liée à la </w:t>
      </w:r>
      <w:r>
        <w:rPr>
          <w:rFonts w:ascii="Trebuchet MS" w:hAnsi="Trebuchet MS"/>
          <w:u w:val="single"/>
        </w:rPr>
        <w:t>passation</w:t>
      </w:r>
      <w:r>
        <w:rPr>
          <w:rFonts w:ascii="Trebuchet MS" w:hAnsi="Trebuchet MS"/>
        </w:rPr>
        <w:t xml:space="preserve"> du marché est estimée à</w:t>
      </w:r>
      <w:r>
        <w:rPr>
          <w:rFonts w:ascii="Trebuchet MS" w:hAnsi="Trebuchet MS"/>
          <w:color w:val="CC9900"/>
        </w:rPr>
        <w:t xml:space="preserve"> </w:t>
      </w:r>
      <w:proofErr w:type="spellStart"/>
      <w:r>
        <w:rPr>
          <w:rFonts w:ascii="Trebuchet MS" w:hAnsi="Trebuchet MS"/>
          <w:color w:val="CC9900"/>
        </w:rPr>
        <w:t>xxxxxxxxxxxxxxxx</w:t>
      </w:r>
      <w:proofErr w:type="spellEnd"/>
      <w:r>
        <w:rPr>
          <w:rFonts w:ascii="Trebuchet MS" w:hAnsi="Trebuchet MS"/>
          <w:color w:val="CC9900"/>
        </w:rPr>
        <w:t xml:space="preserve"> </w:t>
      </w:r>
      <w:r>
        <w:rPr>
          <w:rFonts w:ascii="Trebuchet MS" w:hAnsi="Trebuchet MS"/>
        </w:rPr>
        <w:t xml:space="preserve">€ TVAC, reprenant </w:t>
      </w:r>
      <w:r>
        <w:rPr>
          <w:rFonts w:ascii="Trebuchet MS" w:hAnsi="Trebuchet MS"/>
          <w:color w:val="CC9900"/>
        </w:rPr>
        <w:t>le dédommagement des offres non retenues et le dédommagement des experts extérieurs membres du jury </w:t>
      </w:r>
      <w:r>
        <w:rPr>
          <w:rFonts w:ascii="Trebuchet MS" w:hAnsi="Trebuchet MS"/>
        </w:rPr>
        <w:t>;</w:t>
      </w:r>
    </w:p>
    <w:p w14:paraId="000623D5" w14:textId="77777777" w:rsidR="001109F2" w:rsidRDefault="001109F2">
      <w:pPr>
        <w:autoSpaceDE w:val="0"/>
        <w:autoSpaceDN w:val="0"/>
        <w:adjustRightInd w:val="0"/>
        <w:rPr>
          <w:rFonts w:ascii="Trebuchet MS" w:hAnsi="Trebuchet MS"/>
        </w:rPr>
      </w:pPr>
    </w:p>
    <w:p w14:paraId="06994599" w14:textId="77777777" w:rsidR="001109F2" w:rsidRDefault="001109F2">
      <w:pPr>
        <w:autoSpaceDE w:val="0"/>
        <w:autoSpaceDN w:val="0"/>
        <w:adjustRightInd w:val="0"/>
        <w:rPr>
          <w:rFonts w:ascii="Trebuchet MS" w:hAnsi="Trebuchet MS"/>
        </w:rPr>
      </w:pPr>
    </w:p>
    <w:p w14:paraId="1450F035" w14:textId="77777777" w:rsidR="001109F2" w:rsidRDefault="001109F2">
      <w:pPr>
        <w:outlineLvl w:val="0"/>
        <w:rPr>
          <w:rFonts w:ascii="Trebuchet MS" w:hAnsi="Trebuchet MS" w:cs="Arial"/>
          <w:b/>
          <w:u w:val="single"/>
        </w:rPr>
      </w:pPr>
    </w:p>
    <w:p w14:paraId="001BE54B" w14:textId="77777777" w:rsidR="001109F2" w:rsidRDefault="001109F2">
      <w:pPr>
        <w:outlineLvl w:val="0"/>
        <w:rPr>
          <w:rFonts w:ascii="Trebuchet MS" w:hAnsi="Trebuchet MS" w:cs="Arial"/>
          <w:b/>
          <w:u w:val="single"/>
        </w:rPr>
      </w:pPr>
    </w:p>
    <w:p w14:paraId="49381F06" w14:textId="77777777" w:rsidR="001109F2" w:rsidRDefault="00992AE1">
      <w:pPr>
        <w:outlineLvl w:val="0"/>
        <w:rPr>
          <w:rFonts w:ascii="Trebuchet MS" w:hAnsi="Trebuchet MS" w:cs="Arial"/>
          <w:b/>
          <w:u w:val="single"/>
        </w:rPr>
      </w:pPr>
      <w:commentRangeStart w:id="8"/>
      <w:r>
        <w:rPr>
          <w:rFonts w:ascii="Trebuchet MS" w:hAnsi="Trebuchet MS" w:cs="Arial"/>
          <w:b/>
          <w:u w:val="single"/>
        </w:rPr>
        <w:t>Motivation du choix de la procédure</w:t>
      </w:r>
      <w:commentRangeEnd w:id="8"/>
      <w:r>
        <w:rPr>
          <w:rStyle w:val="Marquedecommentaire"/>
        </w:rPr>
        <w:commentReference w:id="8"/>
      </w:r>
    </w:p>
    <w:p w14:paraId="090B0C8A" w14:textId="77777777" w:rsidR="001109F2" w:rsidRDefault="001109F2">
      <w:pPr>
        <w:jc w:val="both"/>
        <w:rPr>
          <w:rFonts w:ascii="Trebuchet MS" w:hAnsi="Trebuchet MS"/>
        </w:rPr>
      </w:pPr>
    </w:p>
    <w:p w14:paraId="07ECC674" w14:textId="2266DABE" w:rsidR="001109F2" w:rsidRDefault="00992AE1">
      <w:pPr>
        <w:autoSpaceDE w:val="0"/>
        <w:autoSpaceDN w:val="0"/>
        <w:adjustRightInd w:val="0"/>
        <w:rPr>
          <w:rFonts w:ascii="Trebuchet MS" w:hAnsi="Trebuchet MS"/>
        </w:rPr>
      </w:pPr>
      <w:commentRangeStart w:id="9"/>
      <w:r>
        <w:rPr>
          <w:rFonts w:ascii="Trebuchet MS" w:hAnsi="Trebuchet MS"/>
        </w:rPr>
        <w:lastRenderedPageBreak/>
        <w:t>Etant donné que la valeur totale maximale du marché (reprenant le cas échéant</w:t>
      </w:r>
      <w:r w:rsidR="00153350">
        <w:rPr>
          <w:rFonts w:ascii="Trebuchet MS" w:hAnsi="Trebuchet MS"/>
        </w:rPr>
        <w:t xml:space="preserve"> </w:t>
      </w:r>
      <w:r>
        <w:rPr>
          <w:rFonts w:ascii="Trebuchet MS" w:hAnsi="Trebuchet MS"/>
        </w:rPr>
        <w:t xml:space="preserve">: dédommagements, tranches ferme et conditionnelles, clause de réexamen, option exigée valorisables) est estimée à </w:t>
      </w:r>
      <w:proofErr w:type="spellStart"/>
      <w:r>
        <w:rPr>
          <w:rFonts w:ascii="Trebuchet MS" w:hAnsi="Trebuchet MS"/>
          <w:color w:val="CC9900"/>
        </w:rPr>
        <w:t>xxxxxxxxxxxxxxxx</w:t>
      </w:r>
      <w:proofErr w:type="spellEnd"/>
      <w:r>
        <w:rPr>
          <w:rFonts w:ascii="Trebuchet MS" w:hAnsi="Trebuchet MS"/>
          <w:color w:val="CC9900"/>
        </w:rPr>
        <w:t xml:space="preserve"> </w:t>
      </w:r>
      <w:r>
        <w:rPr>
          <w:rFonts w:ascii="Trebuchet MS" w:hAnsi="Trebuchet MS"/>
        </w:rPr>
        <w:t>€ HTVA ;</w:t>
      </w:r>
    </w:p>
    <w:p w14:paraId="21860C16" w14:textId="77777777" w:rsidR="001109F2" w:rsidRDefault="001109F2">
      <w:pPr>
        <w:autoSpaceDE w:val="0"/>
        <w:autoSpaceDN w:val="0"/>
        <w:adjustRightInd w:val="0"/>
        <w:rPr>
          <w:rFonts w:ascii="Trebuchet MS" w:hAnsi="Trebuchet MS"/>
        </w:rPr>
      </w:pPr>
    </w:p>
    <w:p w14:paraId="2E8A6775" w14:textId="77777777" w:rsidR="001109F2" w:rsidRDefault="00992AE1">
      <w:pPr>
        <w:jc w:val="both"/>
        <w:rPr>
          <w:rFonts w:ascii="Trebuchet MS" w:hAnsi="Trebuchet MS"/>
        </w:rPr>
      </w:pPr>
      <w:r>
        <w:rPr>
          <w:rFonts w:ascii="Trebuchet MS" w:hAnsi="Trebuchet MS"/>
        </w:rPr>
        <w:t xml:space="preserve">Vu la loi du 17 juin 2016 relative aux marchés publics et à certains marchés de travaux, fournitures et de services, notamment l’article 38, §1, 1° b) </w:t>
      </w:r>
      <w:commentRangeStart w:id="10"/>
      <w:r>
        <w:rPr>
          <w:rFonts w:ascii="Trebuchet MS" w:hAnsi="Trebuchet MS"/>
          <w:color w:val="CC9900"/>
        </w:rPr>
        <w:t>et f)</w:t>
      </w:r>
      <w:commentRangeEnd w:id="10"/>
      <w:r>
        <w:rPr>
          <w:rStyle w:val="Marquedecommentaire"/>
        </w:rPr>
        <w:commentReference w:id="10"/>
      </w:r>
      <w:r>
        <w:rPr>
          <w:rFonts w:ascii="Trebuchet MS" w:hAnsi="Trebuchet MS"/>
        </w:rPr>
        <w:t xml:space="preserve">, permettant de recourir à une procédure concurrentielle avec négociation pour un marché de services </w:t>
      </w:r>
      <w:commentRangeStart w:id="11"/>
      <w:r>
        <w:rPr>
          <w:rFonts w:ascii="Trebuchet MS" w:hAnsi="Trebuchet MS"/>
        </w:rPr>
        <w:t xml:space="preserve">incluant la conception ou les solutions innovantes </w:t>
      </w:r>
      <w:commentRangeEnd w:id="11"/>
      <w:r>
        <w:rPr>
          <w:rStyle w:val="Marquedecommentaire"/>
        </w:rPr>
        <w:commentReference w:id="11"/>
      </w:r>
      <w:commentRangeStart w:id="12"/>
      <w:r>
        <w:rPr>
          <w:rFonts w:ascii="Trebuchet MS" w:hAnsi="Trebuchet MS"/>
          <w:color w:val="CC9900"/>
        </w:rPr>
        <w:t>et dont le montant estimé hors taxe sur la valeur ajoutée est inférieur aux montants fixés par le Roi</w:t>
      </w:r>
      <w:commentRangeEnd w:id="12"/>
      <w:r>
        <w:rPr>
          <w:rStyle w:val="Marquedecommentaire"/>
          <w:color w:val="CC9900"/>
        </w:rPr>
        <w:commentReference w:id="12"/>
      </w:r>
      <w:r>
        <w:rPr>
          <w:rFonts w:ascii="Trebuchet MS" w:hAnsi="Trebuchet MS"/>
        </w:rPr>
        <w:t>;</w:t>
      </w:r>
    </w:p>
    <w:p w14:paraId="0EAFC794" w14:textId="77777777" w:rsidR="001109F2" w:rsidRDefault="001109F2">
      <w:pPr>
        <w:jc w:val="both"/>
        <w:rPr>
          <w:rFonts w:ascii="Trebuchet MS" w:hAnsi="Trebuchet MS"/>
        </w:rPr>
      </w:pPr>
    </w:p>
    <w:p w14:paraId="0888249A" w14:textId="1325CB86" w:rsidR="001109F2" w:rsidRDefault="00992AE1">
      <w:pPr>
        <w:jc w:val="both"/>
        <w:rPr>
          <w:rFonts w:ascii="Trebuchet MS" w:hAnsi="Trebuchet MS"/>
        </w:rPr>
      </w:pPr>
      <w:r>
        <w:rPr>
          <w:rFonts w:ascii="Trebuchet MS" w:hAnsi="Trebuchet MS"/>
        </w:rPr>
        <w:t>Étant donné que les marchés de services d’auteur de projet incluent la conception sous forme de prestation intellectuelle créatrice</w:t>
      </w:r>
      <w:r w:rsidR="00153350">
        <w:rPr>
          <w:rFonts w:ascii="Trebuchet MS" w:hAnsi="Trebuchet MS"/>
        </w:rPr>
        <w:t xml:space="preserve"> </w:t>
      </w:r>
      <w:r>
        <w:rPr>
          <w:rFonts w:ascii="Trebuchet MS" w:hAnsi="Trebuchet MS"/>
        </w:rPr>
        <w:t>;</w:t>
      </w:r>
    </w:p>
    <w:p w14:paraId="69F0E562" w14:textId="77777777" w:rsidR="001109F2" w:rsidRDefault="001109F2">
      <w:pPr>
        <w:jc w:val="both"/>
        <w:rPr>
          <w:rFonts w:ascii="Trebuchet MS" w:hAnsi="Trebuchet MS"/>
        </w:rPr>
      </w:pPr>
    </w:p>
    <w:p w14:paraId="599CDEB4" w14:textId="77777777" w:rsidR="001109F2" w:rsidRDefault="001109F2">
      <w:pPr>
        <w:rPr>
          <w:rFonts w:ascii="Trebuchet MS" w:hAnsi="Trebuchet MS"/>
        </w:rPr>
      </w:pPr>
    </w:p>
    <w:p w14:paraId="72189420" w14:textId="77777777" w:rsidR="001109F2" w:rsidRDefault="00992AE1">
      <w:pPr>
        <w:outlineLvl w:val="0"/>
        <w:rPr>
          <w:rFonts w:ascii="Trebuchet MS" w:hAnsi="Trebuchet MS" w:cs="Arial"/>
          <w:b/>
          <w:u w:val="single"/>
        </w:rPr>
      </w:pPr>
      <w:r>
        <w:rPr>
          <w:rFonts w:ascii="Trebuchet MS" w:hAnsi="Trebuchet MS" w:cs="Arial"/>
          <w:b/>
          <w:u w:val="single"/>
        </w:rPr>
        <w:t>Motivation du non-allotissement du marché</w:t>
      </w:r>
    </w:p>
    <w:p w14:paraId="33F78FAE" w14:textId="77777777" w:rsidR="001109F2" w:rsidRDefault="001109F2">
      <w:pPr>
        <w:rPr>
          <w:rFonts w:ascii="Trebuchet MS" w:hAnsi="Trebuchet MS"/>
        </w:rPr>
      </w:pPr>
    </w:p>
    <w:p w14:paraId="3B4FCA06" w14:textId="77777777" w:rsidR="001109F2" w:rsidRDefault="00992AE1">
      <w:pPr>
        <w:jc w:val="both"/>
        <w:rPr>
          <w:rFonts w:ascii="Trebuchet MS" w:hAnsi="Trebuchet MS"/>
          <w:szCs w:val="20"/>
        </w:rPr>
      </w:pPr>
      <w:r>
        <w:rPr>
          <w:rFonts w:ascii="Trebuchet MS" w:hAnsi="Trebuchet MS"/>
          <w:szCs w:val="20"/>
        </w:rPr>
        <w:t>Bien</w:t>
      </w:r>
      <w:r>
        <w:rPr>
          <w:rFonts w:ascii="Trebuchet MS" w:hAnsi="Trebuchet MS"/>
        </w:rPr>
        <w:t xml:space="preserve"> </w:t>
      </w:r>
      <w:r>
        <w:rPr>
          <w:rFonts w:ascii="Trebuchet MS" w:hAnsi="Trebuchet MS"/>
          <w:szCs w:val="20"/>
        </w:rPr>
        <w:t>que la valeur du marché soit supérieure à 140.000 euros HTVA, le marché n’est pas divisé en lots pour les raisons principales suivantes :</w:t>
      </w:r>
    </w:p>
    <w:p w14:paraId="7F060A6A" w14:textId="77777777" w:rsidR="001109F2" w:rsidRDefault="001109F2">
      <w:pPr>
        <w:jc w:val="both"/>
        <w:rPr>
          <w:rFonts w:ascii="Trebuchet MS" w:hAnsi="Trebuchet MS"/>
          <w:szCs w:val="20"/>
        </w:rPr>
      </w:pPr>
    </w:p>
    <w:p w14:paraId="25CA743A" w14:textId="77777777" w:rsidR="001109F2" w:rsidRDefault="00992AE1">
      <w:pPr>
        <w:pStyle w:val="Paragraphedeliste"/>
        <w:numPr>
          <w:ilvl w:val="0"/>
          <w:numId w:val="1"/>
        </w:numPr>
        <w:ind w:left="567" w:hanging="425"/>
        <w:jc w:val="both"/>
        <w:rPr>
          <w:rFonts w:ascii="Trebuchet MS" w:hAnsi="Trebuchet MS"/>
          <w:szCs w:val="20"/>
        </w:rPr>
      </w:pPr>
      <w:proofErr w:type="gramStart"/>
      <w:r>
        <w:rPr>
          <w:rFonts w:ascii="Trebuchet MS" w:hAnsi="Trebuchet MS"/>
          <w:szCs w:val="20"/>
        </w:rPr>
        <w:t>il</w:t>
      </w:r>
      <w:proofErr w:type="gramEnd"/>
      <w:r>
        <w:rPr>
          <w:rFonts w:ascii="Trebuchet MS" w:hAnsi="Trebuchet MS"/>
          <w:szCs w:val="20"/>
        </w:rPr>
        <w:t xml:space="preserve"> importe que chaque phase du projet soit réalisée par le même attributaire, au risque de compromettre la cohérence du projet et de rendre l’exécution du présent marché excessivement coûteuse et difficile sur le plan technique ;</w:t>
      </w:r>
    </w:p>
    <w:p w14:paraId="62D9A850" w14:textId="77777777" w:rsidR="001109F2" w:rsidRDefault="001109F2">
      <w:pPr>
        <w:jc w:val="both"/>
        <w:rPr>
          <w:rFonts w:ascii="Trebuchet MS" w:hAnsi="Trebuchet MS"/>
          <w:szCs w:val="20"/>
        </w:rPr>
      </w:pPr>
    </w:p>
    <w:p w14:paraId="531AFDB2" w14:textId="77777777" w:rsidR="001109F2" w:rsidRDefault="00992AE1">
      <w:pPr>
        <w:pStyle w:val="Paragraphedeliste"/>
        <w:numPr>
          <w:ilvl w:val="0"/>
          <w:numId w:val="1"/>
        </w:numPr>
        <w:ind w:left="567" w:hanging="425"/>
        <w:jc w:val="both"/>
        <w:rPr>
          <w:rFonts w:ascii="Trebuchet MS" w:hAnsi="Trebuchet MS"/>
          <w:szCs w:val="20"/>
        </w:rPr>
      </w:pPr>
      <w:proofErr w:type="gramStart"/>
      <w:r>
        <w:rPr>
          <w:rFonts w:ascii="Trebuchet MS" w:hAnsi="Trebuchet MS"/>
          <w:szCs w:val="20"/>
        </w:rPr>
        <w:t>la</w:t>
      </w:r>
      <w:proofErr w:type="gramEnd"/>
      <w:r>
        <w:rPr>
          <w:rFonts w:ascii="Trebuchet MS" w:hAnsi="Trebuchet MS"/>
          <w:szCs w:val="20"/>
        </w:rPr>
        <w:t xml:space="preserve"> pré-esquisse à présenter au stade de l’offre doit inclure toutes les dimensions de la conception. Un opérateur ne disposant que d’une partie des compétences requises serait incapable de présenter seul une telle pré-esquisse, de sorte qu’une division en lots par type de compétence est impossible ;</w:t>
      </w:r>
    </w:p>
    <w:p w14:paraId="4D838070" w14:textId="77777777" w:rsidR="001109F2" w:rsidRDefault="001109F2">
      <w:pPr>
        <w:jc w:val="both"/>
        <w:rPr>
          <w:rFonts w:ascii="Trebuchet MS" w:hAnsi="Trebuchet MS"/>
          <w:szCs w:val="20"/>
        </w:rPr>
      </w:pPr>
    </w:p>
    <w:p w14:paraId="48E31C4F" w14:textId="77777777" w:rsidR="001109F2" w:rsidRDefault="00992AE1">
      <w:pPr>
        <w:pStyle w:val="Paragraphedeliste"/>
        <w:numPr>
          <w:ilvl w:val="0"/>
          <w:numId w:val="1"/>
        </w:numPr>
        <w:ind w:left="567" w:hanging="425"/>
        <w:jc w:val="both"/>
        <w:rPr>
          <w:rFonts w:ascii="Trebuchet MS" w:hAnsi="Trebuchet MS"/>
          <w:szCs w:val="20"/>
        </w:rPr>
      </w:pPr>
      <w:proofErr w:type="gramStart"/>
      <w:r>
        <w:rPr>
          <w:rFonts w:ascii="Trebuchet MS" w:hAnsi="Trebuchet MS"/>
          <w:szCs w:val="20"/>
        </w:rPr>
        <w:t>la</w:t>
      </w:r>
      <w:proofErr w:type="gramEnd"/>
      <w:r>
        <w:rPr>
          <w:rFonts w:ascii="Trebuchet MS" w:hAnsi="Trebuchet MS"/>
          <w:szCs w:val="20"/>
        </w:rPr>
        <w:t xml:space="preserve"> mission d’auteur de projet suppose la coordination par celui-ci de plusieurs compétences en vue d’assurer la bonne exécution du marché. Si le marché était divisé en lots, l’opérateur chargé de la coordination de ceux-ci verrait sa capacité à agir sur des prestataires tiers et non choisis déforcée ;</w:t>
      </w:r>
    </w:p>
    <w:p w14:paraId="4BC1D173" w14:textId="77777777" w:rsidR="001109F2" w:rsidRDefault="001109F2">
      <w:pPr>
        <w:jc w:val="both"/>
        <w:rPr>
          <w:rFonts w:ascii="Trebuchet MS" w:hAnsi="Trebuchet MS"/>
          <w:szCs w:val="20"/>
        </w:rPr>
      </w:pPr>
    </w:p>
    <w:p w14:paraId="658CFEF1" w14:textId="77777777" w:rsidR="001109F2" w:rsidRDefault="00992AE1">
      <w:pPr>
        <w:pStyle w:val="Paragraphedeliste"/>
        <w:numPr>
          <w:ilvl w:val="0"/>
          <w:numId w:val="1"/>
        </w:numPr>
        <w:ind w:left="567" w:hanging="425"/>
        <w:jc w:val="both"/>
        <w:rPr>
          <w:rFonts w:ascii="Trebuchet MS" w:hAnsi="Trebuchet MS"/>
          <w:szCs w:val="20"/>
        </w:rPr>
      </w:pPr>
      <w:proofErr w:type="gramStart"/>
      <w:r>
        <w:rPr>
          <w:rFonts w:ascii="Trebuchet MS" w:hAnsi="Trebuchet MS"/>
          <w:szCs w:val="20"/>
        </w:rPr>
        <w:t>les</w:t>
      </w:r>
      <w:proofErr w:type="gramEnd"/>
      <w:r>
        <w:rPr>
          <w:rFonts w:ascii="Trebuchet MS" w:hAnsi="Trebuchet MS"/>
          <w:szCs w:val="20"/>
        </w:rPr>
        <w:t xml:space="preserve"> missions de conception sont rémunérées au pourcentage sur le montant des travaux par discipline. Dans le cadre d’une enveloppe budgétaire globale, il n’est pas rare, en cours d’études, de devoir ajuster le poids relatif de chaque compétence afin de respecter l’enveloppe. Un tel ajustement ne pose pas </w:t>
      </w:r>
      <w:proofErr w:type="gramStart"/>
      <w:r>
        <w:rPr>
          <w:rFonts w:ascii="Trebuchet MS" w:hAnsi="Trebuchet MS"/>
          <w:szCs w:val="20"/>
        </w:rPr>
        <w:t>problème</w:t>
      </w:r>
      <w:proofErr w:type="gramEnd"/>
      <w:r>
        <w:rPr>
          <w:rFonts w:ascii="Trebuchet MS" w:hAnsi="Trebuchet MS"/>
          <w:szCs w:val="20"/>
        </w:rPr>
        <w:t xml:space="preserve"> lorsqu’il intervient au sein d’une équipe pluridisciplinaire ; il serait en revanche complexe, voire impossible, dans le contexte de contrats distincts.</w:t>
      </w:r>
      <w:commentRangeEnd w:id="9"/>
      <w:r>
        <w:rPr>
          <w:rStyle w:val="Marquedecommentaire"/>
        </w:rPr>
        <w:commentReference w:id="9"/>
      </w:r>
    </w:p>
    <w:p w14:paraId="6D1D5F68" w14:textId="77777777" w:rsidR="001109F2" w:rsidRDefault="001109F2">
      <w:pPr>
        <w:jc w:val="both"/>
        <w:rPr>
          <w:rFonts w:ascii="Trebuchet MS" w:hAnsi="Trebuchet MS"/>
        </w:rPr>
      </w:pPr>
    </w:p>
    <w:p w14:paraId="1AE1FC4A" w14:textId="77777777" w:rsidR="001109F2" w:rsidRDefault="00992AE1">
      <w:pPr>
        <w:autoSpaceDE w:val="0"/>
        <w:autoSpaceDN w:val="0"/>
        <w:adjustRightInd w:val="0"/>
        <w:rPr>
          <w:rFonts w:ascii="Trebuchet MS" w:hAnsi="Trebuchet MS"/>
          <w:b/>
          <w:u w:val="single"/>
        </w:rPr>
      </w:pPr>
      <w:r>
        <w:rPr>
          <w:rFonts w:ascii="Trebuchet MS" w:hAnsi="Trebuchet MS"/>
          <w:b/>
          <w:u w:val="single"/>
        </w:rPr>
        <w:t>Documents du marché</w:t>
      </w:r>
    </w:p>
    <w:p w14:paraId="6A985EC0" w14:textId="77777777" w:rsidR="001109F2" w:rsidRDefault="00992AE1">
      <w:pPr>
        <w:autoSpaceDE w:val="0"/>
        <w:autoSpaceDN w:val="0"/>
        <w:adjustRightInd w:val="0"/>
        <w:rPr>
          <w:rFonts w:ascii="Trebuchet MS" w:hAnsi="Trebuchet MS"/>
        </w:rPr>
      </w:pPr>
      <w:commentRangeStart w:id="13"/>
      <w:r>
        <w:rPr>
          <w:rFonts w:ascii="Trebuchet MS" w:hAnsi="Trebuchet MS"/>
        </w:rPr>
        <w:t xml:space="preserve">Vu en </w:t>
      </w:r>
      <w:r>
        <w:rPr>
          <w:rFonts w:ascii="Trebuchet MS" w:hAnsi="Trebuchet MS"/>
          <w:b/>
        </w:rPr>
        <w:t>annexe</w:t>
      </w:r>
      <w:r>
        <w:rPr>
          <w:rFonts w:ascii="Trebuchet MS" w:hAnsi="Trebuchet MS"/>
        </w:rPr>
        <w:t xml:space="preserve"> le projet d’avis de marché devant faire l’objet d’une publicité </w:t>
      </w:r>
      <w:r>
        <w:rPr>
          <w:rFonts w:ascii="Trebuchet MS" w:hAnsi="Trebuchet MS"/>
          <w:color w:val="CC9900"/>
        </w:rPr>
        <w:t xml:space="preserve">belge/européenne </w:t>
      </w:r>
      <w:r>
        <w:rPr>
          <w:rFonts w:ascii="Trebuchet MS" w:hAnsi="Trebuchet MS"/>
        </w:rPr>
        <w:t>et fixant les conditions permettant de réaliser la phase de sélection des candidats ;</w:t>
      </w:r>
      <w:commentRangeEnd w:id="13"/>
      <w:r>
        <w:rPr>
          <w:rStyle w:val="Marquedecommentaire"/>
        </w:rPr>
        <w:commentReference w:id="13"/>
      </w:r>
    </w:p>
    <w:p w14:paraId="7277CA9B" w14:textId="77777777" w:rsidR="001109F2" w:rsidRDefault="001109F2">
      <w:pPr>
        <w:autoSpaceDE w:val="0"/>
        <w:autoSpaceDN w:val="0"/>
        <w:adjustRightInd w:val="0"/>
        <w:rPr>
          <w:rFonts w:ascii="Trebuchet MS" w:hAnsi="Trebuchet MS"/>
        </w:rPr>
      </w:pPr>
    </w:p>
    <w:p w14:paraId="78A49ADC" w14:textId="77777777" w:rsidR="001109F2" w:rsidRDefault="00992AE1">
      <w:pPr>
        <w:autoSpaceDE w:val="0"/>
        <w:autoSpaceDN w:val="0"/>
        <w:adjustRightInd w:val="0"/>
        <w:rPr>
          <w:rFonts w:ascii="Trebuchet MS" w:hAnsi="Trebuchet MS"/>
        </w:rPr>
      </w:pPr>
      <w:r>
        <w:rPr>
          <w:rFonts w:ascii="Trebuchet MS" w:hAnsi="Trebuchet MS"/>
        </w:rPr>
        <w:t>Vu en annexe le cahier des charges précisant les conditions de passation et d’exécution du marché ;</w:t>
      </w:r>
    </w:p>
    <w:p w14:paraId="5DD5E22E" w14:textId="77777777" w:rsidR="001109F2" w:rsidRDefault="001109F2">
      <w:pPr>
        <w:autoSpaceDE w:val="0"/>
        <w:autoSpaceDN w:val="0"/>
        <w:adjustRightInd w:val="0"/>
        <w:rPr>
          <w:rFonts w:ascii="Trebuchet MS" w:hAnsi="Trebuchet MS"/>
        </w:rPr>
      </w:pPr>
    </w:p>
    <w:p w14:paraId="7152ED14" w14:textId="77777777" w:rsidR="001109F2" w:rsidRDefault="00992AE1">
      <w:pPr>
        <w:autoSpaceDE w:val="0"/>
        <w:autoSpaceDN w:val="0"/>
        <w:adjustRightInd w:val="0"/>
        <w:rPr>
          <w:rFonts w:ascii="Trebuchet MS" w:hAnsi="Trebuchet MS" w:cs="Arial"/>
          <w:b/>
          <w:u w:val="single"/>
        </w:rPr>
      </w:pPr>
      <w:r>
        <w:rPr>
          <w:rFonts w:ascii="Trebuchet MS" w:hAnsi="Trebuchet MS" w:cs="Arial"/>
          <w:b/>
          <w:u w:val="single"/>
        </w:rPr>
        <w:t>Décision</w:t>
      </w:r>
    </w:p>
    <w:p w14:paraId="155E0776" w14:textId="77777777" w:rsidR="001109F2" w:rsidRDefault="00992AE1">
      <w:pPr>
        <w:autoSpaceDE w:val="0"/>
        <w:autoSpaceDN w:val="0"/>
        <w:adjustRightInd w:val="0"/>
        <w:rPr>
          <w:rFonts w:ascii="Trebuchet MS" w:hAnsi="Trebuchet MS"/>
        </w:rPr>
      </w:pPr>
      <w:r>
        <w:rPr>
          <w:rFonts w:ascii="Trebuchet MS" w:hAnsi="Trebuchet MS"/>
        </w:rPr>
        <w:t>Le maître d’ouvrage décide :</w:t>
      </w:r>
    </w:p>
    <w:p w14:paraId="5351029F" w14:textId="13D7F604" w:rsidR="001109F2" w:rsidRDefault="00992AE1">
      <w:pPr>
        <w:pStyle w:val="Paragraphedeliste"/>
        <w:numPr>
          <w:ilvl w:val="0"/>
          <w:numId w:val="5"/>
        </w:numPr>
        <w:autoSpaceDE w:val="0"/>
        <w:autoSpaceDN w:val="0"/>
        <w:adjustRightInd w:val="0"/>
        <w:rPr>
          <w:rFonts w:ascii="Trebuchet MS" w:hAnsi="Trebuchet MS"/>
        </w:rPr>
      </w:pPr>
      <w:r>
        <w:rPr>
          <w:rFonts w:ascii="Trebuchet MS" w:hAnsi="Trebuchet MS"/>
        </w:rPr>
        <w:t xml:space="preserve">D’approuver la passation d’un marché de services selon la procédure </w:t>
      </w:r>
      <w:commentRangeStart w:id="14"/>
      <w:r>
        <w:rPr>
          <w:rFonts w:ascii="Trebuchet MS" w:hAnsi="Trebuchet MS"/>
        </w:rPr>
        <w:t xml:space="preserve">concurrentielle avec négociation, sur base de l’article 38, §1, 1°b) </w:t>
      </w:r>
      <w:commentRangeStart w:id="15"/>
      <w:r>
        <w:rPr>
          <w:rFonts w:ascii="Trebuchet MS" w:hAnsi="Trebuchet MS"/>
          <w:color w:val="CC9900"/>
        </w:rPr>
        <w:t xml:space="preserve">et f) </w:t>
      </w:r>
      <w:commentRangeEnd w:id="15"/>
      <w:r>
        <w:rPr>
          <w:rStyle w:val="Marquedecommentaire"/>
        </w:rPr>
        <w:commentReference w:id="15"/>
      </w:r>
      <w:commentRangeEnd w:id="14"/>
      <w:r>
        <w:rPr>
          <w:rStyle w:val="Marquedecommentaire"/>
        </w:rPr>
        <w:commentReference w:id="14"/>
      </w:r>
      <w:r>
        <w:rPr>
          <w:rFonts w:ascii="Trebuchet MS" w:hAnsi="Trebuchet MS"/>
        </w:rPr>
        <w:t xml:space="preserve">de la loi du 17 juin 2016 relative aux marchés publics, marché ayant pour objet la désignation d’un auteur de projet pour une mission d’étude et de suivi de l’exécution des travaux </w:t>
      </w:r>
      <w:r>
        <w:rPr>
          <w:rFonts w:ascii="Trebuchet MS" w:hAnsi="Trebuchet MS" w:cs="Arial"/>
          <w:szCs w:val="22"/>
        </w:rPr>
        <w:t xml:space="preserve">de </w:t>
      </w:r>
      <w:proofErr w:type="spellStart"/>
      <w:r>
        <w:rPr>
          <w:rFonts w:ascii="Trebuchet MS" w:hAnsi="Trebuchet MS" w:cs="Arial"/>
          <w:color w:val="CC9900"/>
          <w:szCs w:val="22"/>
        </w:rPr>
        <w:t>xxxxxxxxxxxxxxxxx</w:t>
      </w:r>
      <w:proofErr w:type="spellEnd"/>
      <w:r>
        <w:rPr>
          <w:rFonts w:ascii="Trebuchet MS" w:hAnsi="Trebuchet MS"/>
          <w:color w:val="CC9900"/>
        </w:rPr>
        <w:t xml:space="preserve"> </w:t>
      </w:r>
      <w:r>
        <w:rPr>
          <w:rFonts w:ascii="Trebuchet MS" w:hAnsi="Trebuchet MS"/>
        </w:rPr>
        <w:t xml:space="preserve">pour un montant d’honoraires estimé à ce stade </w:t>
      </w:r>
      <w:r>
        <w:rPr>
          <w:rFonts w:ascii="Trebuchet MS" w:hAnsi="Trebuchet MS"/>
        </w:rPr>
        <w:lastRenderedPageBreak/>
        <w:t>(toutes tranches inclues</w:t>
      </w:r>
      <w:r w:rsidR="00A845DE">
        <w:rPr>
          <w:rFonts w:ascii="Trebuchet MS" w:hAnsi="Trebuchet MS"/>
        </w:rPr>
        <w:t>, hors option exigée le cas échéant</w:t>
      </w:r>
      <w:r>
        <w:rPr>
          <w:rFonts w:ascii="Trebuchet MS" w:hAnsi="Trebuchet MS"/>
        </w:rPr>
        <w:t xml:space="preserve">) à </w:t>
      </w:r>
      <w:commentRangeStart w:id="16"/>
      <w:proofErr w:type="spellStart"/>
      <w:r>
        <w:rPr>
          <w:rFonts w:ascii="Trebuchet MS" w:hAnsi="Trebuchet MS"/>
          <w:color w:val="CC9900"/>
        </w:rPr>
        <w:t>xxxxxxxxxxxxxxxx</w:t>
      </w:r>
      <w:proofErr w:type="spellEnd"/>
      <w:r>
        <w:rPr>
          <w:rFonts w:ascii="Trebuchet MS" w:hAnsi="Trebuchet MS"/>
          <w:color w:val="CC9900"/>
        </w:rPr>
        <w:t xml:space="preserve"> </w:t>
      </w:r>
      <w:commentRangeEnd w:id="16"/>
      <w:r>
        <w:rPr>
          <w:rStyle w:val="Marquedecommentaire"/>
        </w:rPr>
        <w:commentReference w:id="16"/>
      </w:r>
      <w:r>
        <w:rPr>
          <w:rFonts w:ascii="Trebuchet MS" w:hAnsi="Trebuchet MS"/>
        </w:rPr>
        <w:t>€ TVAC</w:t>
      </w:r>
      <w:r w:rsidR="00153350">
        <w:rPr>
          <w:rFonts w:ascii="Trebuchet MS" w:hAnsi="Trebuchet MS"/>
        </w:rPr>
        <w:t xml:space="preserve"> </w:t>
      </w:r>
      <w:r>
        <w:rPr>
          <w:rFonts w:ascii="Trebuchet MS" w:hAnsi="Trebuchet MS"/>
        </w:rPr>
        <w:t>;</w:t>
      </w:r>
    </w:p>
    <w:p w14:paraId="65DE75E9" w14:textId="103D547D" w:rsidR="001109F2" w:rsidRDefault="00992AE1">
      <w:pPr>
        <w:pStyle w:val="Paragraphedeliste"/>
        <w:numPr>
          <w:ilvl w:val="0"/>
          <w:numId w:val="5"/>
        </w:numPr>
        <w:autoSpaceDE w:val="0"/>
        <w:autoSpaceDN w:val="0"/>
        <w:adjustRightInd w:val="0"/>
        <w:rPr>
          <w:rFonts w:ascii="Trebuchet MS" w:hAnsi="Trebuchet MS"/>
        </w:rPr>
      </w:pPr>
      <w:r>
        <w:rPr>
          <w:rFonts w:ascii="Trebuchet MS" w:hAnsi="Trebuchet MS"/>
        </w:rPr>
        <w:t xml:space="preserve">D’approuver la dépense de </w:t>
      </w:r>
      <w:commentRangeStart w:id="17"/>
      <w:proofErr w:type="spellStart"/>
      <w:r>
        <w:rPr>
          <w:rFonts w:ascii="Trebuchet MS" w:hAnsi="Trebuchet MS"/>
          <w:color w:val="CC9900"/>
        </w:rPr>
        <w:t>xxxxxxxxxxxxxxx</w:t>
      </w:r>
      <w:proofErr w:type="spellEnd"/>
      <w:r>
        <w:rPr>
          <w:rFonts w:ascii="Trebuchet MS" w:hAnsi="Trebuchet MS"/>
          <w:color w:val="CC9900"/>
        </w:rPr>
        <w:t xml:space="preserve"> </w:t>
      </w:r>
      <w:commentRangeEnd w:id="17"/>
      <w:r>
        <w:rPr>
          <w:rStyle w:val="Marquedecommentaire"/>
        </w:rPr>
        <w:commentReference w:id="17"/>
      </w:r>
      <w:r>
        <w:rPr>
          <w:rFonts w:ascii="Trebuchet MS" w:hAnsi="Trebuchet MS"/>
        </w:rPr>
        <w:t>€ TVAC pour les dépenses collatérales</w:t>
      </w:r>
      <w:r w:rsidR="00153350">
        <w:rPr>
          <w:rFonts w:ascii="Trebuchet MS" w:hAnsi="Trebuchet MS"/>
        </w:rPr>
        <w:t xml:space="preserve"> </w:t>
      </w:r>
      <w:r>
        <w:rPr>
          <w:rFonts w:ascii="Trebuchet MS" w:hAnsi="Trebuchet MS"/>
        </w:rPr>
        <w:t>;</w:t>
      </w:r>
    </w:p>
    <w:p w14:paraId="225E57EB" w14:textId="246EF324" w:rsidR="001109F2" w:rsidRDefault="00992AE1">
      <w:pPr>
        <w:pStyle w:val="Paragraphedeliste"/>
        <w:numPr>
          <w:ilvl w:val="0"/>
          <w:numId w:val="5"/>
        </w:numPr>
        <w:autoSpaceDE w:val="0"/>
        <w:autoSpaceDN w:val="0"/>
        <w:adjustRightInd w:val="0"/>
        <w:rPr>
          <w:rFonts w:ascii="Trebuchet MS" w:hAnsi="Trebuchet MS"/>
        </w:rPr>
      </w:pPr>
      <w:r>
        <w:rPr>
          <w:rFonts w:ascii="Trebuchet MS" w:hAnsi="Trebuchet MS"/>
        </w:rPr>
        <w:t>De provisionner les montant liés aux dépenses de passation et de l’exécution de la première tranche (ferme) du marché</w:t>
      </w:r>
      <w:r w:rsidR="00153350">
        <w:rPr>
          <w:rFonts w:ascii="Trebuchet MS" w:hAnsi="Trebuchet MS"/>
        </w:rPr>
        <w:t xml:space="preserve"> </w:t>
      </w:r>
      <w:r>
        <w:rPr>
          <w:rFonts w:ascii="Trebuchet MS" w:hAnsi="Trebuchet MS"/>
        </w:rPr>
        <w:t xml:space="preserve">; </w:t>
      </w:r>
    </w:p>
    <w:p w14:paraId="185F97E8" w14:textId="55DF458C" w:rsidR="001109F2" w:rsidRDefault="00992AE1">
      <w:pPr>
        <w:pStyle w:val="Paragraphedeliste"/>
        <w:numPr>
          <w:ilvl w:val="0"/>
          <w:numId w:val="5"/>
        </w:numPr>
        <w:autoSpaceDE w:val="0"/>
        <w:autoSpaceDN w:val="0"/>
        <w:adjustRightInd w:val="0"/>
        <w:rPr>
          <w:rFonts w:ascii="Trebuchet MS" w:hAnsi="Trebuchet MS"/>
        </w:rPr>
      </w:pPr>
      <w:commentRangeStart w:id="18"/>
      <w:r>
        <w:rPr>
          <w:rFonts w:ascii="Trebuchet MS" w:hAnsi="Trebuchet MS"/>
        </w:rPr>
        <w:t>D’approuver les conditions fixées dans les documents du marché (</w:t>
      </w:r>
      <w:commentRangeStart w:id="19"/>
      <w:r w:rsidRPr="00153350">
        <w:rPr>
          <w:rFonts w:ascii="Trebuchet MS" w:hAnsi="Trebuchet MS"/>
          <w:color w:val="CC9900"/>
        </w:rPr>
        <w:t>avis de marché et</w:t>
      </w:r>
      <w:r>
        <w:rPr>
          <w:rFonts w:ascii="Trebuchet MS" w:hAnsi="Trebuchet MS"/>
        </w:rPr>
        <w:t xml:space="preserve"> </w:t>
      </w:r>
      <w:commentRangeEnd w:id="19"/>
      <w:r w:rsidR="00153350">
        <w:rPr>
          <w:rStyle w:val="Marquedecommentaire"/>
        </w:rPr>
        <w:commentReference w:id="19"/>
      </w:r>
      <w:r>
        <w:rPr>
          <w:rFonts w:ascii="Trebuchet MS" w:hAnsi="Trebuchet MS"/>
        </w:rPr>
        <w:t>cahier des charges), joints en annexe</w:t>
      </w:r>
      <w:commentRangeStart w:id="20"/>
      <w:r w:rsidRPr="00153350">
        <w:rPr>
          <w:rFonts w:ascii="Trebuchet MS" w:hAnsi="Trebuchet MS"/>
          <w:color w:val="CC9900"/>
        </w:rPr>
        <w:t>, qui seront publiés sur la plateforme e-Procurement</w:t>
      </w:r>
      <w:r w:rsidR="00153350">
        <w:rPr>
          <w:rFonts w:ascii="Trebuchet MS" w:hAnsi="Trebuchet MS"/>
          <w:color w:val="CC9900"/>
        </w:rPr>
        <w:t xml:space="preserve"> </w:t>
      </w:r>
      <w:commentRangeEnd w:id="20"/>
      <w:r w:rsidR="00153350">
        <w:rPr>
          <w:rStyle w:val="Marquedecommentaire"/>
        </w:rPr>
        <w:commentReference w:id="20"/>
      </w:r>
      <w:r>
        <w:rPr>
          <w:rFonts w:ascii="Trebuchet MS" w:hAnsi="Trebuchet MS"/>
        </w:rPr>
        <w:t>;</w:t>
      </w:r>
      <w:commentRangeEnd w:id="18"/>
      <w:r>
        <w:rPr>
          <w:rStyle w:val="Marquedecommentaire"/>
        </w:rPr>
        <w:commentReference w:id="18"/>
      </w:r>
    </w:p>
    <w:p w14:paraId="26536857" w14:textId="77777777" w:rsidR="001109F2" w:rsidRDefault="00992AE1">
      <w:pPr>
        <w:pStyle w:val="Paragraphedeliste"/>
        <w:numPr>
          <w:ilvl w:val="0"/>
          <w:numId w:val="5"/>
        </w:numPr>
        <w:autoSpaceDE w:val="0"/>
        <w:autoSpaceDN w:val="0"/>
        <w:adjustRightInd w:val="0"/>
        <w:rPr>
          <w:rFonts w:ascii="Trebuchet MS" w:hAnsi="Trebuchet MS"/>
          <w:color w:val="CC9900"/>
        </w:rPr>
      </w:pPr>
      <w:commentRangeStart w:id="21"/>
      <w:r>
        <w:rPr>
          <w:rFonts w:ascii="Trebuchet MS" w:hAnsi="Trebuchet MS"/>
          <w:color w:val="CC9900"/>
        </w:rPr>
        <w:t xml:space="preserve">De transmettre la présente délibération et ses annexes à </w:t>
      </w:r>
      <w:proofErr w:type="spellStart"/>
      <w:r>
        <w:rPr>
          <w:rFonts w:ascii="Trebuchet MS" w:hAnsi="Trebuchet MS"/>
          <w:color w:val="CC9900"/>
        </w:rPr>
        <w:t>xxxxxxxxxxxxxx</w:t>
      </w:r>
      <w:proofErr w:type="spellEnd"/>
      <w:r>
        <w:rPr>
          <w:rFonts w:ascii="Trebuchet MS" w:hAnsi="Trebuchet MS"/>
          <w:color w:val="CC9900"/>
        </w:rPr>
        <w:t xml:space="preserve"> dans le cadre de l’instruction de la demande de subvention.</w:t>
      </w:r>
      <w:commentRangeEnd w:id="21"/>
      <w:r>
        <w:rPr>
          <w:rStyle w:val="Marquedecommentaire"/>
        </w:rPr>
        <w:commentReference w:id="21"/>
      </w:r>
    </w:p>
    <w:p w14:paraId="68D688E6" w14:textId="77777777" w:rsidR="001109F2" w:rsidRDefault="00992AE1">
      <w:pPr>
        <w:pStyle w:val="Paragraphedeliste"/>
        <w:numPr>
          <w:ilvl w:val="0"/>
          <w:numId w:val="5"/>
        </w:numPr>
        <w:autoSpaceDE w:val="0"/>
        <w:autoSpaceDN w:val="0"/>
        <w:adjustRightInd w:val="0"/>
        <w:rPr>
          <w:rFonts w:ascii="Trebuchet MS" w:hAnsi="Trebuchet MS"/>
          <w:color w:val="CC9900"/>
        </w:rPr>
      </w:pPr>
      <w:commentRangeStart w:id="22"/>
      <w:r>
        <w:rPr>
          <w:rFonts w:ascii="Trebuchet MS" w:hAnsi="Trebuchet MS"/>
          <w:color w:val="CC9900"/>
        </w:rPr>
        <w:t xml:space="preserve">De transmettre la présente délibération et ses annexes à </w:t>
      </w:r>
      <w:proofErr w:type="spellStart"/>
      <w:r>
        <w:rPr>
          <w:rFonts w:ascii="Trebuchet MS" w:hAnsi="Trebuchet MS"/>
          <w:color w:val="CC9900"/>
        </w:rPr>
        <w:t>xxxxxxxxxxxxxx</w:t>
      </w:r>
      <w:proofErr w:type="spellEnd"/>
      <w:r>
        <w:rPr>
          <w:rFonts w:ascii="Trebuchet MS" w:hAnsi="Trebuchet MS"/>
          <w:color w:val="CC9900"/>
        </w:rPr>
        <w:t xml:space="preserve"> dans le cadre de la tutelle exercée sur ses actes administratifs.</w:t>
      </w:r>
      <w:commentRangeEnd w:id="22"/>
      <w:r>
        <w:rPr>
          <w:rStyle w:val="Marquedecommentaire"/>
        </w:rPr>
        <w:commentReference w:id="22"/>
      </w:r>
    </w:p>
    <w:sectPr w:rsidR="001109F2">
      <w:footerReference w:type="default" r:id="rId12"/>
      <w:pgSz w:w="11906" w:h="16838"/>
      <w:pgMar w:top="993"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lule architecture" w:date="2023-06-09T15:35:00Z" w:initials="CA-SG">
    <w:p w14:paraId="797459C1" w14:textId="77777777" w:rsidR="00DC2278" w:rsidRDefault="00992AE1" w:rsidP="00DC2278">
      <w:pPr>
        <w:pStyle w:val="Commentaire"/>
      </w:pPr>
      <w:r>
        <w:rPr>
          <w:rStyle w:val="Marquedecommentaire"/>
        </w:rPr>
        <w:annotationRef/>
      </w:r>
      <w:r w:rsidR="00DC2278">
        <w:rPr>
          <w:color w:val="000000"/>
        </w:rPr>
        <w:t xml:space="preserve">Choisir la procédure en fonction de la </w:t>
      </w:r>
      <w:r w:rsidR="00DC2278">
        <w:rPr>
          <w:color w:val="000000"/>
          <w:u w:val="single"/>
        </w:rPr>
        <w:t>valeur maximale estimée du marché</w:t>
      </w:r>
      <w:r w:rsidR="00DC2278">
        <w:rPr>
          <w:color w:val="000000"/>
        </w:rPr>
        <w:t> (voir explications du calcul de ce montant au point «motivation du choix de la procédure»):</w:t>
      </w:r>
    </w:p>
    <w:p w14:paraId="7FA445F5" w14:textId="77777777" w:rsidR="00DC2278" w:rsidRDefault="00DC2278" w:rsidP="00DC2278">
      <w:pPr>
        <w:pStyle w:val="Commentaire"/>
      </w:pPr>
    </w:p>
    <w:p w14:paraId="5C1CCA27" w14:textId="77777777" w:rsidR="00DC2278" w:rsidRDefault="00DC2278" w:rsidP="00DC2278">
      <w:pPr>
        <w:pStyle w:val="Commentaire"/>
      </w:pPr>
      <w:r>
        <w:rPr>
          <w:color w:val="4BACC6"/>
        </w:rPr>
        <w:t xml:space="preserve">- (procédure 1) entre 30.000 et 140 000 euros, on peut recourir à la </w:t>
      </w:r>
      <w:r>
        <w:rPr>
          <w:b/>
          <w:bCs/>
          <w:color w:val="4BACC6"/>
        </w:rPr>
        <w:t xml:space="preserve">procédure négociée sans publication préalable (PNSP) &gt; voir cahier des charges adapté (simplifié) sur </w:t>
      </w:r>
      <w:hyperlink r:id="rId1" w:history="1">
        <w:r w:rsidRPr="00BC12DF">
          <w:rPr>
            <w:rStyle w:val="Lienhypertexte"/>
            <w:b/>
            <w:bCs/>
          </w:rPr>
          <w:t>www.marchesdarchitecture.be</w:t>
        </w:r>
      </w:hyperlink>
      <w:r>
        <w:rPr>
          <w:b/>
          <w:bCs/>
          <w:color w:val="4BACC6"/>
        </w:rPr>
        <w:t xml:space="preserve"> </w:t>
      </w:r>
    </w:p>
    <w:p w14:paraId="578427A3" w14:textId="77777777" w:rsidR="00DC2278" w:rsidRDefault="00DC2278" w:rsidP="00DC2278">
      <w:pPr>
        <w:pStyle w:val="Commentaire"/>
      </w:pPr>
    </w:p>
    <w:p w14:paraId="03F18085" w14:textId="77777777" w:rsidR="00DC2278" w:rsidRDefault="00DC2278" w:rsidP="00DC2278">
      <w:pPr>
        <w:pStyle w:val="Commentaire"/>
      </w:pPr>
      <w:r>
        <w:rPr>
          <w:color w:val="000000"/>
        </w:rPr>
        <w:t xml:space="preserve">- (procédure 2) entre 140 000 et 215 000 euros, on recourt à la </w:t>
      </w:r>
      <w:r>
        <w:rPr>
          <w:b/>
          <w:bCs/>
          <w:color w:val="000000"/>
        </w:rPr>
        <w:t>procédure concurrentielle avec négociation avec publicité belge</w:t>
      </w:r>
    </w:p>
    <w:p w14:paraId="62DC1BCC" w14:textId="77777777" w:rsidR="00DC2278" w:rsidRDefault="00DC2278" w:rsidP="00DC2278">
      <w:pPr>
        <w:pStyle w:val="Commentaire"/>
      </w:pPr>
    </w:p>
    <w:p w14:paraId="312344C4" w14:textId="77777777" w:rsidR="00DC2278" w:rsidRDefault="00DC2278" w:rsidP="00DC2278">
      <w:pPr>
        <w:pStyle w:val="Commentaire"/>
      </w:pPr>
      <w:r>
        <w:rPr>
          <w:color w:val="000000"/>
        </w:rPr>
        <w:t xml:space="preserve">- (procédure 3) au-delà de 215 000 euros, on recourt à la </w:t>
      </w:r>
      <w:r>
        <w:rPr>
          <w:b/>
          <w:bCs/>
          <w:color w:val="000000"/>
        </w:rPr>
        <w:t>procédure concurrentielle avec négociation avec publicité européenne</w:t>
      </w:r>
    </w:p>
    <w:p w14:paraId="3111DD02" w14:textId="77777777" w:rsidR="00DC2278" w:rsidRDefault="00DC2278" w:rsidP="00DC2278">
      <w:pPr>
        <w:pStyle w:val="Commentaire"/>
      </w:pPr>
    </w:p>
    <w:p w14:paraId="15586C59" w14:textId="77777777" w:rsidR="00DC2278" w:rsidRDefault="00DC2278" w:rsidP="00DC2278">
      <w:pPr>
        <w:pStyle w:val="Commentaire"/>
      </w:pPr>
      <w:r>
        <w:rPr>
          <w:color w:val="000000"/>
        </w:rPr>
        <w:t xml:space="preserve">En cas de doute, toujours prendre la procédure la plus contraignante. Par exemple si le marché est </w:t>
      </w:r>
      <w:r>
        <w:rPr>
          <w:color w:val="000000"/>
          <w:u w:val="single"/>
        </w:rPr>
        <w:t>estimé</w:t>
      </w:r>
      <w:r>
        <w:rPr>
          <w:color w:val="000000"/>
        </w:rPr>
        <w:t xml:space="preserve"> à 130.000 euros, opter par sécurité pour la procédure 2.</w:t>
      </w:r>
    </w:p>
    <w:p w14:paraId="5A467935" w14:textId="77777777" w:rsidR="00DC2278" w:rsidRDefault="00DC2278" w:rsidP="00DC2278">
      <w:pPr>
        <w:pStyle w:val="Commentaire"/>
      </w:pPr>
      <w:r>
        <w:rPr>
          <w:color w:val="000000"/>
        </w:rPr>
        <w:t>Par ailleurs, le véritable gain (temps, simplicité) se situe entre la procédure 1 et la procédure 2. Entre la procédure 2 et la procédure 3, les différences sont assez négligeables (nous notons essentiellement : DUME obligatoire, vérification situation casiers judiciaires membres de l’organe de gestion, formulation d’exigences minimales, pondération critères attribution, standstill + 15 jours). Il est donc conseillé, pour être plus à l’aise (notamment par rapport aux risques de modifications au marché pouvant survenir en cours d’exécution), de viser la procédure 3.</w:t>
      </w:r>
    </w:p>
  </w:comment>
  <w:comment w:id="0" w:author="Cellule architecture" w:date="2022-10-04T17:59:00Z" w:initials="CA-SG">
    <w:p w14:paraId="5CA4DCA4" w14:textId="6EFD696C" w:rsidR="001109F2" w:rsidRDefault="00992AE1">
      <w:pPr>
        <w:pStyle w:val="Commentaire"/>
      </w:pPr>
      <w:r>
        <w:rPr>
          <w:rStyle w:val="Marquedecommentaire"/>
        </w:rPr>
        <w:annotationRef/>
      </w:r>
      <w:r>
        <w:t>Cette décision de « lancer le marché » doit être officiellement prise par l’autorité compétente.</w:t>
      </w:r>
    </w:p>
    <w:p w14:paraId="3BB1591E" w14:textId="77777777" w:rsidR="001109F2" w:rsidRDefault="00992AE1">
      <w:pPr>
        <w:pStyle w:val="Commentaire"/>
      </w:pPr>
      <w:r>
        <w:t>Elle est à approuver en principe en même temps que le projet d’avis de marché.</w:t>
      </w:r>
    </w:p>
    <w:p w14:paraId="1DB4B010" w14:textId="77777777" w:rsidR="001109F2" w:rsidRDefault="00992AE1">
      <w:pPr>
        <w:pStyle w:val="Commentaire"/>
      </w:pPr>
      <w:r>
        <w:t xml:space="preserve">(Commune : compétence du </w:t>
      </w:r>
      <w:r>
        <w:rPr>
          <w:u w:val="single"/>
        </w:rPr>
        <w:t>Conseil</w:t>
      </w:r>
      <w:r>
        <w:t xml:space="preserve"> communal, ASBL : Conseil d’administration)</w:t>
      </w:r>
    </w:p>
    <w:p w14:paraId="37D31953" w14:textId="77777777" w:rsidR="001109F2" w:rsidRDefault="001109F2">
      <w:pPr>
        <w:pStyle w:val="Commentaire"/>
      </w:pPr>
    </w:p>
    <w:p w14:paraId="387F51E1" w14:textId="77777777" w:rsidR="001109F2" w:rsidRDefault="00992AE1">
      <w:pPr>
        <w:pStyle w:val="Commentaire"/>
      </w:pPr>
      <w:r>
        <w:t>Cette décision s’assortira d’une inscription au budget de tous les frais liés à ce marché de services :</w:t>
      </w:r>
    </w:p>
    <w:p w14:paraId="0774FE95" w14:textId="77777777" w:rsidR="001109F2" w:rsidRDefault="00992AE1">
      <w:pPr>
        <w:pStyle w:val="Commentaire"/>
      </w:pPr>
      <w:r>
        <w:t>- frais liés à la passation : défraiement experts jury, dédommagement des offres, … (à prévoir a priori dans l’année)</w:t>
      </w:r>
    </w:p>
    <w:p w14:paraId="2E574570" w14:textId="77777777" w:rsidR="001109F2" w:rsidRDefault="00992AE1">
      <w:pPr>
        <w:pStyle w:val="Commentaire"/>
        <w:rPr>
          <w:color w:val="0070C0"/>
        </w:rPr>
      </w:pPr>
      <w:r>
        <w:t xml:space="preserve">- frais liés à l’exécution : honoraires de l’auteur de projet (à répartir sur les années ultérieures -&gt; voir dans le </w:t>
      </w:r>
      <w:hyperlink r:id="rId2" w:history="1">
        <w:r>
          <w:rPr>
            <w:rStyle w:val="Lienhypertexte"/>
            <w:color w:val="auto"/>
          </w:rPr>
          <w:t>cahier des charges type</w:t>
        </w:r>
      </w:hyperlink>
      <w:r>
        <w:t xml:space="preserve"> le fractionnement des honoraires point 26 et les délais prévisionnels point 22).</w:t>
      </w:r>
    </w:p>
  </w:comment>
  <w:comment w:id="2" w:author="Cellule architecture" w:date="2022-10-10T12:30:00Z" w:initials="CA-SG">
    <w:p w14:paraId="650FB313" w14:textId="77777777" w:rsidR="001109F2" w:rsidRDefault="00992AE1">
      <w:pPr>
        <w:pStyle w:val="Commentaire"/>
      </w:pPr>
      <w:r>
        <w:rPr>
          <w:rStyle w:val="Marquedecommentaire"/>
        </w:rPr>
        <w:annotationRef/>
      </w:r>
      <w:r>
        <w:t>OU</w:t>
      </w:r>
    </w:p>
    <w:p w14:paraId="2655D47E" w14:textId="77777777" w:rsidR="001109F2" w:rsidRDefault="00992AE1">
      <w:pPr>
        <w:pStyle w:val="Commentaire"/>
      </w:pPr>
      <w:r>
        <w:t>« NEGOCIEE SANS PUBLICATION PREALABLE »</w:t>
      </w:r>
    </w:p>
  </w:comment>
  <w:comment w:id="3" w:author="Cellule architecture" w:date="2024-03-14T16:26:00Z" w:initials="CA-SG">
    <w:p w14:paraId="6B6B5BB8" w14:textId="77777777" w:rsidR="00EF441A" w:rsidRDefault="00992AE1" w:rsidP="00EF441A">
      <w:pPr>
        <w:pStyle w:val="Commentaire"/>
      </w:pPr>
      <w:r>
        <w:rPr>
          <w:rStyle w:val="Marquedecommentaire"/>
        </w:rPr>
        <w:annotationRef/>
      </w:r>
      <w:r w:rsidR="00EF441A">
        <w:t xml:space="preserve">Dans tout le document de Décision de lancement du marché, hormis à la section ‘motivation du choix de la procédure’, il s’agit bien de mentionner des montants </w:t>
      </w:r>
      <w:r w:rsidR="00EF441A">
        <w:rPr>
          <w:b/>
          <w:bCs/>
        </w:rPr>
        <w:t>TVAC</w:t>
      </w:r>
      <w:r w:rsidR="00EF441A">
        <w:t xml:space="preserve">, qui représentent la </w:t>
      </w:r>
      <w:r w:rsidR="00EF441A">
        <w:rPr>
          <w:u w:val="single"/>
        </w:rPr>
        <w:t>véritable charge financière</w:t>
      </w:r>
      <w:r w:rsidR="00EF441A">
        <w:t xml:space="preserve"> «directement engageante» pour l’adjudicateur.</w:t>
      </w:r>
    </w:p>
    <w:p w14:paraId="10AA8DF8" w14:textId="77777777" w:rsidR="00EF441A" w:rsidRDefault="00EF441A" w:rsidP="00EF441A">
      <w:pPr>
        <w:pStyle w:val="Commentaire"/>
      </w:pPr>
      <w:r>
        <w:t>- dédommagements : non soumis à TVA</w:t>
      </w:r>
    </w:p>
    <w:p w14:paraId="7A151AC3" w14:textId="77777777" w:rsidR="00EF441A" w:rsidRDefault="00EF441A" w:rsidP="00EF441A">
      <w:pPr>
        <w:pStyle w:val="Commentaire"/>
      </w:pPr>
      <w:r>
        <w:t xml:space="preserve">- honoraires : compter à ce stade 21 % de TVA. </w:t>
      </w:r>
    </w:p>
    <w:p w14:paraId="0F18BB8D" w14:textId="77777777" w:rsidR="00EF441A" w:rsidRDefault="00EF441A" w:rsidP="00EF441A">
      <w:pPr>
        <w:pStyle w:val="Commentaire"/>
      </w:pPr>
      <w:r>
        <w:t>Sous certaines conditions (voir dans le Cahier des charges), 15% des honoraires pourraient bénéficier d’un taux de TVA réduit à 6% de TVA mais cela ne peut être garanti à ce stade et nécessite un commun accord auteur de projet-maître d’ouvrage suite à l’attribution du marché.</w:t>
      </w:r>
    </w:p>
  </w:comment>
  <w:comment w:id="4" w:author="Cellule architecture" w:date="2022-10-10T11:58:00Z" w:initials="CA-SG">
    <w:p w14:paraId="42DFBF81" w14:textId="12623989" w:rsidR="001109F2" w:rsidRDefault="00992AE1">
      <w:pPr>
        <w:pStyle w:val="Commentaire"/>
      </w:pPr>
      <w:r>
        <w:rPr>
          <w:rStyle w:val="Marquedecommentaire"/>
        </w:rPr>
        <w:annotationRef/>
      </w:r>
      <w:r>
        <w:t>Le cas échéant</w:t>
      </w:r>
    </w:p>
  </w:comment>
  <w:comment w:id="5" w:author="Cellule architecture" w:date="2022-10-10T12:00:00Z" w:initials="CA-SG">
    <w:p w14:paraId="1CC282F2" w14:textId="77777777" w:rsidR="001109F2" w:rsidRDefault="00992AE1">
      <w:pPr>
        <w:pStyle w:val="Commentaire"/>
      </w:pPr>
      <w:r>
        <w:rPr>
          <w:rStyle w:val="Marquedecommentaire"/>
        </w:rPr>
        <w:annotationRef/>
      </w:r>
      <w:r>
        <w:t>Le cas échéant</w:t>
      </w:r>
    </w:p>
  </w:comment>
  <w:comment w:id="6" w:author="Cellule architecture" w:date="2025-01-17T15:17:00Z" w:initials="CA-SG">
    <w:p w14:paraId="23261393" w14:textId="77777777" w:rsidR="00A25B84" w:rsidRDefault="00A25B84" w:rsidP="00A25B84">
      <w:pPr>
        <w:pStyle w:val="Commentaire"/>
      </w:pPr>
      <w:r>
        <w:rPr>
          <w:rStyle w:val="Marquedecommentaire"/>
        </w:rPr>
        <w:annotationRef/>
      </w:r>
      <w:r>
        <w:t>Le cas échéant</w:t>
      </w:r>
    </w:p>
  </w:comment>
  <w:comment w:id="7" w:author="Cellule architecture" w:date="2022-10-10T12:17:00Z" w:initials="CA-SG">
    <w:p w14:paraId="56A8AB23" w14:textId="284EEEAE" w:rsidR="00A25B84" w:rsidRDefault="00A25B84" w:rsidP="00A25B84">
      <w:pPr>
        <w:pStyle w:val="Commentaire"/>
      </w:pPr>
      <w:r>
        <w:rPr>
          <w:rStyle w:val="Marquedecommentaire"/>
        </w:rPr>
        <w:annotationRef/>
      </w:r>
      <w:r>
        <w:t>Le cas échéant</w:t>
      </w:r>
    </w:p>
  </w:comment>
  <w:comment w:id="8" w:author="Cellule architecture" w:date="2024-03-14T16:23:00Z" w:initials="CA-SG">
    <w:p w14:paraId="060F15D6" w14:textId="77777777" w:rsidR="00511132" w:rsidRDefault="00992AE1" w:rsidP="00511132">
      <w:pPr>
        <w:pStyle w:val="Commentaire"/>
      </w:pPr>
      <w:r>
        <w:rPr>
          <w:rStyle w:val="Marquedecommentaire"/>
        </w:rPr>
        <w:annotationRef/>
      </w:r>
      <w:r w:rsidR="00511132">
        <w:rPr>
          <w:b/>
          <w:bCs/>
        </w:rPr>
        <w:t xml:space="preserve">Valeur maximale estimée du marché </w:t>
      </w:r>
      <w:r w:rsidR="00511132">
        <w:t>(art 7 AR 18/04/2017)</w:t>
      </w:r>
      <w:r w:rsidR="00511132">
        <w:rPr>
          <w:b/>
          <w:bCs/>
        </w:rPr>
        <w:t>.</w:t>
      </w:r>
    </w:p>
    <w:p w14:paraId="0BC556A3" w14:textId="77777777" w:rsidR="00511132" w:rsidRDefault="00511132" w:rsidP="00511132">
      <w:pPr>
        <w:pStyle w:val="Commentaire"/>
      </w:pPr>
      <w:r>
        <w:t xml:space="preserve">Dans cette section, exceptionnellement,  on parle de montants </w:t>
      </w:r>
      <w:r>
        <w:rPr>
          <w:u w:val="single"/>
        </w:rPr>
        <w:t>HTVA</w:t>
      </w:r>
      <w:r>
        <w:t>.</w:t>
      </w:r>
    </w:p>
    <w:p w14:paraId="2C995EEB" w14:textId="77777777" w:rsidR="00511132" w:rsidRDefault="00511132" w:rsidP="00511132">
      <w:pPr>
        <w:pStyle w:val="Commentaire"/>
      </w:pPr>
    </w:p>
    <w:p w14:paraId="12DB1D96" w14:textId="77777777" w:rsidR="00511132" w:rsidRDefault="00511132" w:rsidP="00511132">
      <w:pPr>
        <w:pStyle w:val="Commentaire"/>
      </w:pPr>
      <w:r>
        <w:t>L’estimation de la valeur totale estimée à mentionner au début de cette rubrique est une valeur MAXIMALE. Elle tient compte de la durée et de la valeur max du marché et additionne les éléments suivants :</w:t>
      </w:r>
    </w:p>
    <w:p w14:paraId="7B0AD084" w14:textId="77777777" w:rsidR="00511132" w:rsidRDefault="00511132" w:rsidP="00511132">
      <w:pPr>
        <w:pStyle w:val="Commentaire"/>
      </w:pPr>
    </w:p>
    <w:p w14:paraId="68EE4DAA" w14:textId="77777777" w:rsidR="00511132" w:rsidRDefault="00511132" w:rsidP="00511132">
      <w:pPr>
        <w:pStyle w:val="Commentaire"/>
      </w:pPr>
      <w:r>
        <w:rPr>
          <w:b/>
          <w:bCs/>
        </w:rPr>
        <w:t>1) Eléments classiques selon le processus « Cellule archi »</w:t>
      </w:r>
      <w:r>
        <w:t> :</w:t>
      </w:r>
    </w:p>
    <w:p w14:paraId="19265A63" w14:textId="77777777" w:rsidR="00511132" w:rsidRDefault="00511132" w:rsidP="00511132">
      <w:pPr>
        <w:pStyle w:val="Commentaire"/>
      </w:pPr>
      <w:r>
        <w:t>1.a) toutes les tranches fermes et conditionnelles du marché = le montant total d’honoraires prévu de base ;</w:t>
      </w:r>
    </w:p>
    <w:p w14:paraId="6F664375" w14:textId="77777777" w:rsidR="00511132" w:rsidRDefault="00511132" w:rsidP="00511132">
      <w:pPr>
        <w:pStyle w:val="Commentaire"/>
      </w:pPr>
      <w:r>
        <w:t>1.b) toutes les primes ou tous les paiements que le pouvoir adjudicateur prévoit au profit des candidats, participants ou soumissionnaires = les dédommagements des soumissionnaires non retenus;</w:t>
      </w:r>
    </w:p>
    <w:p w14:paraId="4136C1E3" w14:textId="77777777" w:rsidR="00511132" w:rsidRDefault="00511132" w:rsidP="00511132">
      <w:pPr>
        <w:pStyle w:val="Commentaire"/>
      </w:pPr>
      <w:r>
        <w:t>1.c) les clauses de réexamen valorisables = la clause de réexamen « classique » prévue pour les marchés de services d’architecture (=50% valeur reprise en 1.a) + autre clause de réexamen particulière valorisable le cas échéant;</w:t>
      </w:r>
    </w:p>
    <w:p w14:paraId="6CB8E7F8" w14:textId="77777777" w:rsidR="00511132" w:rsidRDefault="00511132" w:rsidP="00511132">
      <w:pPr>
        <w:pStyle w:val="Commentaire"/>
      </w:pPr>
      <w:r>
        <w:t>1.d) les options valorisables= l’option exigée si valorisable</w:t>
      </w:r>
    </w:p>
    <w:p w14:paraId="0CA81261" w14:textId="77777777" w:rsidR="00511132" w:rsidRDefault="00511132" w:rsidP="00511132">
      <w:pPr>
        <w:pStyle w:val="Commentaire"/>
      </w:pPr>
    </w:p>
    <w:p w14:paraId="26D5BB54" w14:textId="77777777" w:rsidR="00511132" w:rsidRDefault="00511132" w:rsidP="00511132">
      <w:pPr>
        <w:pStyle w:val="Commentaire"/>
      </w:pPr>
      <w:r>
        <w:rPr>
          <w:b/>
          <w:bCs/>
        </w:rPr>
        <w:t>2) Éléments plus particuliers, d’application seulement pour certains marchés dont l’objet est particulier :</w:t>
      </w:r>
    </w:p>
    <w:p w14:paraId="70803FCF" w14:textId="77777777" w:rsidR="00511132" w:rsidRDefault="00511132" w:rsidP="00511132">
      <w:pPr>
        <w:pStyle w:val="Commentaire"/>
      </w:pPr>
      <w:r>
        <w:t>2a) tous les lots (a priori un seul lot donc non);</w:t>
      </w:r>
    </w:p>
    <w:p w14:paraId="031CCE2E" w14:textId="77777777" w:rsidR="00511132" w:rsidRDefault="00511132" w:rsidP="00511132">
      <w:pPr>
        <w:pStyle w:val="Commentaire"/>
      </w:pPr>
      <w:r>
        <w:t>2.b) toutes les répétitions au sens de l’article 42, § 1er, 2°, de la loi du 17 juin 2016 (a priori pas de répétition donc non);</w:t>
      </w:r>
    </w:p>
    <w:p w14:paraId="5C0B3E3C" w14:textId="77777777" w:rsidR="00511132" w:rsidRDefault="00511132" w:rsidP="00511132">
      <w:pPr>
        <w:pStyle w:val="Commentaire"/>
      </w:pPr>
      <w:r>
        <w:t>2.e) les reconductions (art. 7, § 1er) (a priori pas de reconduction donc non) ;</w:t>
      </w:r>
    </w:p>
  </w:comment>
  <w:comment w:id="10" w:author="Cellule architecture" w:date="2022-10-10T12:02:00Z" w:initials="CA-SG">
    <w:p w14:paraId="365F6461" w14:textId="42B22AE3" w:rsidR="001109F2" w:rsidRDefault="00992AE1">
      <w:pPr>
        <w:pStyle w:val="Commentaire"/>
      </w:pPr>
      <w:r>
        <w:rPr>
          <w:rStyle w:val="Marquedecommentaire"/>
        </w:rPr>
        <w:annotationRef/>
      </w:r>
      <w:r>
        <w:rPr>
          <w:rStyle w:val="Marquedecommentaire"/>
        </w:rPr>
        <w:annotationRef/>
      </w:r>
      <w:r>
        <w:t>En cas de publicité belge uniquement</w:t>
      </w:r>
    </w:p>
  </w:comment>
  <w:comment w:id="11" w:author="Cellule architecture" w:date="2024-10-02T16:17:00Z" w:initials="CA-SG">
    <w:p w14:paraId="42157237" w14:textId="77777777" w:rsidR="00992AE1" w:rsidRDefault="00992AE1" w:rsidP="00992AE1">
      <w:pPr>
        <w:pStyle w:val="Commentaire"/>
      </w:pPr>
      <w:r>
        <w:rPr>
          <w:rStyle w:val="Marquedecommentaire"/>
        </w:rPr>
        <w:annotationRef/>
      </w:r>
      <w:r>
        <w:t>Ce qui est bien le cas pour les services d’auteur de projet. Ce lien a été encore plus explicitement opéré dans la directive européenne de 2014, source de notre loi nationale actuelle:</w:t>
      </w:r>
    </w:p>
    <w:p w14:paraId="4BCB92E7" w14:textId="77777777" w:rsidR="00992AE1" w:rsidRDefault="00992AE1" w:rsidP="00992AE1">
      <w:pPr>
        <w:pStyle w:val="Commentaire"/>
      </w:pPr>
    </w:p>
    <w:p w14:paraId="5BCF8979" w14:textId="77777777" w:rsidR="00992AE1" w:rsidRDefault="00992AE1" w:rsidP="00992AE1">
      <w:pPr>
        <w:pStyle w:val="Commentaire"/>
      </w:pPr>
      <w:r>
        <w:rPr>
          <w:b/>
          <w:bCs/>
        </w:rPr>
        <w:t>DIRECTIVE 2014/24/UE DU PARLEMENT EUROPÉEN ET DU CONSEIL</w:t>
      </w:r>
    </w:p>
    <w:p w14:paraId="43D9D3D4" w14:textId="77777777" w:rsidR="00992AE1" w:rsidRDefault="00992AE1" w:rsidP="00992AE1">
      <w:pPr>
        <w:pStyle w:val="Commentaire"/>
      </w:pPr>
      <w:r>
        <w:rPr>
          <w:b/>
          <w:bCs/>
        </w:rPr>
        <w:t>du 26 février 2014 sur la passation des marchés publics et abrogeant la directive 2004/18/CE</w:t>
      </w:r>
    </w:p>
    <w:p w14:paraId="16A042EF" w14:textId="77777777" w:rsidR="00992AE1" w:rsidRDefault="00992AE1" w:rsidP="00992AE1">
      <w:pPr>
        <w:pStyle w:val="Commentaire"/>
      </w:pPr>
    </w:p>
    <w:p w14:paraId="1D349947" w14:textId="77777777" w:rsidR="00992AE1" w:rsidRDefault="00992AE1" w:rsidP="00992AE1">
      <w:pPr>
        <w:pStyle w:val="Commentaire"/>
      </w:pPr>
      <w:r>
        <w:rPr>
          <w:b/>
          <w:bCs/>
          <w:u w:val="single"/>
        </w:rPr>
        <w:t>Commentaire</w:t>
      </w:r>
    </w:p>
    <w:p w14:paraId="05E8F317" w14:textId="77777777" w:rsidR="00992AE1" w:rsidRDefault="00992AE1" w:rsidP="00992AE1">
      <w:pPr>
        <w:pStyle w:val="Commentaire"/>
      </w:pPr>
      <w:r>
        <w:t xml:space="preserve">(43) Pour les marchés de </w:t>
      </w:r>
      <w:r>
        <w:rPr>
          <w:highlight w:val="yellow"/>
        </w:rPr>
        <w:t>travaux</w:t>
      </w:r>
      <w:r>
        <w:t xml:space="preserve">, il s’agit notamment de travaux qui ne concernent pas des bâtiments standards </w:t>
      </w:r>
      <w:r>
        <w:rPr>
          <w:highlight w:val="yellow"/>
        </w:rPr>
        <w:t>ou qui comportent une conception</w:t>
      </w:r>
      <w:r>
        <w:t xml:space="preserve"> ou des solutions innovantes. Pour les </w:t>
      </w:r>
      <w:r>
        <w:rPr>
          <w:highlight w:val="yellow"/>
        </w:rPr>
        <w:t>services</w:t>
      </w:r>
      <w:r>
        <w:t xml:space="preserve"> ou les fournitures nécessitant des efforts d’adaptation </w:t>
      </w:r>
      <w:r>
        <w:rPr>
          <w:highlight w:val="yellow"/>
        </w:rPr>
        <w:t>ou de conception</w:t>
      </w:r>
      <w:r>
        <w:t xml:space="preserve">, le recours à une procédure concurrentielle avec négociation ou au dialogue compétitif est susceptible d’être utile. </w:t>
      </w:r>
      <w:r>
        <w:rPr>
          <w:highlight w:val="yellow"/>
        </w:rPr>
        <w:t>De tels efforts d’adaptation ou de conception sont particulièrement nécessaires</w:t>
      </w:r>
      <w:r>
        <w:t xml:space="preserve"> </w:t>
      </w:r>
      <w:r>
        <w:rPr>
          <w:highlight w:val="yellow"/>
        </w:rPr>
        <w:t>dans le cas d’acquisitions complexes, telles que</w:t>
      </w:r>
      <w:r>
        <w:t xml:space="preserve"> les acquisitions de produits sophistiqués, </w:t>
      </w:r>
      <w:r>
        <w:rPr>
          <w:highlight w:val="yellow"/>
        </w:rPr>
        <w:t>de services intellectuels, par exemple certains services de conseil, d’architecture ou d’ingénierie,</w:t>
      </w:r>
      <w:r>
        <w:t xml:space="preserve"> ou de projets majeurs relevant du domaine des technologies de l’information et de la communication (TIC). Dans de tels cas, des négociations peuvent être nécessaires afin de garantir que le produit ou le service en question répond aux besoins du pouvoir adjudicateur. En ce qui concerne les services ou les produits immédiatement disponibles sur le marché sans adaptation et pouvant être fournis par nombre d’opérateurs économiques différents, il ne convient pas de recourir à la procédure concurrentielle avec négociation ni au dialogue compétitif.</w:t>
      </w:r>
    </w:p>
    <w:p w14:paraId="54C278F8" w14:textId="77777777" w:rsidR="00992AE1" w:rsidRDefault="00992AE1" w:rsidP="00992AE1">
      <w:pPr>
        <w:pStyle w:val="Commentaire"/>
      </w:pPr>
    </w:p>
    <w:p w14:paraId="43A7A41A" w14:textId="77777777" w:rsidR="00992AE1" w:rsidRDefault="00992AE1" w:rsidP="00992AE1">
      <w:pPr>
        <w:pStyle w:val="Commentaire"/>
      </w:pPr>
      <w:r>
        <w:rPr>
          <w:b/>
          <w:bCs/>
          <w:u w:val="single"/>
        </w:rPr>
        <w:t>Article 26</w:t>
      </w:r>
    </w:p>
    <w:p w14:paraId="114F4367" w14:textId="77777777" w:rsidR="00992AE1" w:rsidRDefault="00992AE1" w:rsidP="00992AE1">
      <w:pPr>
        <w:pStyle w:val="Commentaire"/>
      </w:pPr>
      <w:r>
        <w:t>Choix de la procédure</w:t>
      </w:r>
    </w:p>
    <w:p w14:paraId="28D9849C" w14:textId="77777777" w:rsidR="00992AE1" w:rsidRDefault="00992AE1" w:rsidP="00992AE1">
      <w:pPr>
        <w:pStyle w:val="Commentaire"/>
      </w:pPr>
      <w:r>
        <w:t>1. Lorsqu’ils passent des marchés publics, les pouvoirs adjudicateurs mettent en oeuvre les procédures nationales adaptées de manière à être conformes à la présente directive, à condition que, sans préjudice de l’article 32, un appel à la concurrence ait été publié conformément à la présente directive.</w:t>
      </w:r>
    </w:p>
    <w:p w14:paraId="3BC1255F" w14:textId="77777777" w:rsidR="00992AE1" w:rsidRDefault="00992AE1" w:rsidP="00992AE1">
      <w:pPr>
        <w:pStyle w:val="Commentaire"/>
      </w:pPr>
      <w:r>
        <w:t>2. Les États membres prévoient que les pouvoirs adjudicateurs peuvent mettre en oeuvre des procédures ouvertes ou restreintes régies par la présente directive.</w:t>
      </w:r>
    </w:p>
    <w:p w14:paraId="7BC37909" w14:textId="77777777" w:rsidR="00992AE1" w:rsidRDefault="00992AE1" w:rsidP="00992AE1">
      <w:pPr>
        <w:pStyle w:val="Commentaire"/>
      </w:pPr>
      <w:r>
        <w:t>3. Les États membres prévoient que les pouvoirs adjudicateurs peuvent mettre en oeuvre des partenariats d’innovation régis par la présente directive.</w:t>
      </w:r>
    </w:p>
    <w:p w14:paraId="15075212" w14:textId="77777777" w:rsidR="00992AE1" w:rsidRDefault="00992AE1" w:rsidP="00992AE1">
      <w:pPr>
        <w:pStyle w:val="Commentaire"/>
      </w:pPr>
      <w:r>
        <w:t>4</w:t>
      </w:r>
      <w:r>
        <w:rPr>
          <w:highlight w:val="yellow"/>
        </w:rPr>
        <w:t>. Les États membres prévoient que les pouvoirs adjudicateurs peuvent appliquer une procédure concurrentielle avec négociation ou à un dialogue compétitif dans les situations suivantes:</w:t>
      </w:r>
    </w:p>
    <w:p w14:paraId="54E4437F" w14:textId="77777777" w:rsidR="00992AE1" w:rsidRDefault="00992AE1" w:rsidP="00992AE1">
      <w:pPr>
        <w:pStyle w:val="Commentaire"/>
      </w:pPr>
      <w:r>
        <w:t xml:space="preserve">a) pour les travaux, fournitures </w:t>
      </w:r>
      <w:r>
        <w:rPr>
          <w:highlight w:val="yellow"/>
        </w:rPr>
        <w:t>ou services remplissant un ou plusieurs des critères suivants</w:t>
      </w:r>
      <w:r>
        <w:t>:</w:t>
      </w:r>
    </w:p>
    <w:p w14:paraId="53FE3980" w14:textId="77777777" w:rsidR="00992AE1" w:rsidRDefault="00992AE1" w:rsidP="00992AE1">
      <w:pPr>
        <w:pStyle w:val="Commentaire"/>
      </w:pPr>
      <w:r>
        <w:t>i) les besoins du pouvoir adjudicateur ne peuvent être satisfaits sans adapter des solutions immédiatement disponibles;</w:t>
      </w:r>
    </w:p>
    <w:p w14:paraId="5AF0BF96" w14:textId="77777777" w:rsidR="00992AE1" w:rsidRDefault="00992AE1" w:rsidP="00992AE1">
      <w:pPr>
        <w:pStyle w:val="Commentaire"/>
      </w:pPr>
      <w:r>
        <w:rPr>
          <w:highlight w:val="yellow"/>
        </w:rPr>
        <w:t>ii) ils portent notamment sur de la conception</w:t>
      </w:r>
      <w:r>
        <w:t xml:space="preserve"> ou des solutions innovantes;</w:t>
      </w:r>
    </w:p>
    <w:p w14:paraId="60F2C065" w14:textId="77777777" w:rsidR="00992AE1" w:rsidRDefault="00992AE1" w:rsidP="00992AE1">
      <w:pPr>
        <w:pStyle w:val="Commentaire"/>
      </w:pPr>
      <w:r>
        <w:t>iii) le marché ne peut être attribué sans négociations préalables du fait de circonstances particulières liées à sa nature, à sa complexité ou au montage juridique et financier ou en raison des risques qui s’y rattachent;</w:t>
      </w:r>
    </w:p>
    <w:p w14:paraId="5BCBD9E7" w14:textId="77777777" w:rsidR="00992AE1" w:rsidRDefault="00992AE1" w:rsidP="00992AE1">
      <w:pPr>
        <w:pStyle w:val="Commentaire"/>
      </w:pPr>
      <w:r>
        <w:t>iv) le pouvoir adjudicateur n’est pas en mesure de définir les spécifications techniques avec une précision suffisante en se référant à une norme, une évaluation technique européenne, une spécification technique commune ou une référence technique au sens de l’annexe</w:t>
      </w:r>
    </w:p>
    <w:p w14:paraId="5F241A8E" w14:textId="77777777" w:rsidR="00992AE1" w:rsidRDefault="00992AE1" w:rsidP="00992AE1">
      <w:pPr>
        <w:pStyle w:val="Commentaire"/>
      </w:pPr>
      <w:r>
        <w:t>VII, points 2 à 5;</w:t>
      </w:r>
    </w:p>
  </w:comment>
  <w:comment w:id="12" w:author="Cellule architecture" w:date="2022-10-10T12:01:00Z" w:initials="CA-SG">
    <w:p w14:paraId="049ABC40" w14:textId="004620CD" w:rsidR="001109F2" w:rsidRDefault="00992AE1">
      <w:pPr>
        <w:pStyle w:val="Commentaire"/>
      </w:pPr>
      <w:r>
        <w:rPr>
          <w:rStyle w:val="Marquedecommentaire"/>
        </w:rPr>
        <w:annotationRef/>
      </w:r>
      <w:r>
        <w:t>En cas de publicité belge uniquement</w:t>
      </w:r>
    </w:p>
  </w:comment>
  <w:comment w:id="9" w:author="Cellule architecture" w:date="2024-03-14T16:23:00Z" w:initials="CA-SG">
    <w:p w14:paraId="3F34A304" w14:textId="77777777" w:rsidR="001109F2" w:rsidRDefault="00992AE1">
      <w:pPr>
        <w:pStyle w:val="Commentaire"/>
        <w:rPr>
          <w:color w:val="4BACC6" w:themeColor="accent5"/>
        </w:rPr>
      </w:pPr>
      <w:r>
        <w:rPr>
          <w:rStyle w:val="Marquedecommentaire"/>
        </w:rPr>
        <w:annotationRef/>
      </w:r>
      <w:r>
        <w:rPr>
          <w:color w:val="4BACC6" w:themeColor="accent5"/>
        </w:rPr>
        <w:t xml:space="preserve">En cas de procédure négociée sans publication préalable : </w:t>
      </w:r>
    </w:p>
    <w:p w14:paraId="615E9A08" w14:textId="77777777" w:rsidR="001109F2" w:rsidRDefault="001109F2">
      <w:pPr>
        <w:pStyle w:val="Commentaire"/>
        <w:rPr>
          <w:color w:val="4BACC6" w:themeColor="accent5"/>
        </w:rPr>
      </w:pPr>
    </w:p>
    <w:p w14:paraId="05480CFC" w14:textId="77777777" w:rsidR="001109F2" w:rsidRDefault="00992AE1">
      <w:pPr>
        <w:pStyle w:val="Commentaire"/>
        <w:rPr>
          <w:color w:val="4BACC6" w:themeColor="accent5"/>
        </w:rPr>
      </w:pPr>
      <w:r>
        <w:rPr>
          <w:color w:val="4BACC6" w:themeColor="accent5"/>
        </w:rPr>
        <w:t>REMPLACER ces deux blocs par :</w:t>
      </w:r>
    </w:p>
    <w:p w14:paraId="3826DE7D" w14:textId="77777777" w:rsidR="001109F2" w:rsidRDefault="00992AE1">
      <w:pPr>
        <w:outlineLvl w:val="0"/>
        <w:rPr>
          <w:rFonts w:ascii="Trebuchet MS" w:hAnsi="Trebuchet MS" w:cs="Arial"/>
          <w:b/>
          <w:color w:val="4BACC6" w:themeColor="accent5"/>
          <w:u w:val="single"/>
        </w:rPr>
      </w:pPr>
      <w:r>
        <w:rPr>
          <w:rFonts w:ascii="Trebuchet MS" w:hAnsi="Trebuchet MS" w:cs="Arial"/>
          <w:b/>
          <w:color w:val="4BACC6" w:themeColor="accent5"/>
          <w:u w:val="single"/>
        </w:rPr>
        <w:t>Motivation du choix de la procédure</w:t>
      </w:r>
    </w:p>
    <w:p w14:paraId="46322B11" w14:textId="77777777" w:rsidR="001109F2" w:rsidRDefault="00992AE1">
      <w:pPr>
        <w:pStyle w:val="Commentaire"/>
        <w:rPr>
          <w:color w:val="4BACC6" w:themeColor="accent5"/>
        </w:rPr>
      </w:pPr>
      <w:r>
        <w:rPr>
          <w:color w:val="4BACC6" w:themeColor="accent5"/>
        </w:rPr>
        <w:t>Vu la loi du 17 juin 2016 relative aux marchés publics et à certains marchés de travaux, fournitures et de services, notamment l’article article 42, §1, 1°, a), permettant de recourir à une procédure négociée sans publication préalable pour un marché de services et dont le montant estimé hors taxe sur la valeur ajoutée est inférieur aux montants fixés par le Roi;</w:t>
      </w:r>
    </w:p>
    <w:p w14:paraId="0DAAF3DC" w14:textId="77777777" w:rsidR="001109F2" w:rsidRDefault="001109F2">
      <w:pPr>
        <w:pStyle w:val="Commentaire"/>
        <w:rPr>
          <w:color w:val="4BACC6" w:themeColor="accent5"/>
        </w:rPr>
      </w:pPr>
    </w:p>
    <w:p w14:paraId="7259F9BD" w14:textId="77777777" w:rsidR="001109F2" w:rsidRDefault="00992AE1">
      <w:pPr>
        <w:pStyle w:val="Commentaire"/>
        <w:rPr>
          <w:color w:val="4BACC6" w:themeColor="accent5"/>
        </w:rPr>
      </w:pPr>
      <w:r>
        <w:rPr>
          <w:color w:val="4BACC6" w:themeColor="accent5"/>
        </w:rPr>
        <w:t>Vu l’A.R. du 18 avril 2017 relatif aux marchés publics de travaux, de fournitures et de services et aux concessions de travaux publics, notamment l’article 90, 1°, fixant le minimum du montant estimé des marchés soumis à publicité (soit 143.000 € HTVA) et que la valeur totale maximale estimée du marché (reprenant le cas échéant: dédommagements, tranches fermes et conditionnelles, clause de réexamen, option exigée valorisables) est de X.XXX.XXX € HTVA, qu’il ne dépasse donc pas le seuil de publicité ;</w:t>
      </w:r>
    </w:p>
  </w:comment>
  <w:comment w:id="13" w:author="Cellule architecture" w:date="2022-10-10T12:21:00Z" w:initials="CA-SG">
    <w:p w14:paraId="26C03786" w14:textId="77777777" w:rsidR="00AD1C6F" w:rsidRDefault="00992AE1" w:rsidP="00AD1C6F">
      <w:pPr>
        <w:pStyle w:val="Commentaire"/>
      </w:pPr>
      <w:r>
        <w:rPr>
          <w:rStyle w:val="Marquedecommentaire"/>
        </w:rPr>
        <w:annotationRef/>
      </w:r>
      <w:r w:rsidR="00AD1C6F">
        <w:rPr>
          <w:color w:val="4BACC6"/>
        </w:rPr>
        <w:t>En cas de procédure négociée sans publication préalable, REMPLACER ce bloc par:</w:t>
      </w:r>
    </w:p>
    <w:p w14:paraId="371ECD46" w14:textId="77777777" w:rsidR="00AD1C6F" w:rsidRDefault="00AD1C6F" w:rsidP="00AD1C6F">
      <w:pPr>
        <w:pStyle w:val="Commentaire"/>
      </w:pPr>
      <w:r>
        <w:rPr>
          <w:b/>
          <w:bCs/>
          <w:color w:val="4BACC6"/>
        </w:rPr>
        <w:t xml:space="preserve">------ Cas 1 : si la sélection a été effectuée </w:t>
      </w:r>
      <w:r>
        <w:rPr>
          <w:b/>
          <w:bCs/>
          <w:i/>
          <w:iCs/>
          <w:color w:val="4BACC6"/>
        </w:rPr>
        <w:t>---</w:t>
      </w:r>
    </w:p>
    <w:p w14:paraId="33B5B5BF" w14:textId="77777777" w:rsidR="00AD1C6F" w:rsidRDefault="00AD1C6F" w:rsidP="00AD1C6F">
      <w:pPr>
        <w:pStyle w:val="Commentaire"/>
      </w:pPr>
      <w:r>
        <w:rPr>
          <w:i/>
          <w:iCs/>
          <w:color w:val="4BACC6"/>
        </w:rPr>
        <w:t>Vu la sélection proposée de prestataires qu’il est suggéré d’inviter à remettre offre:</w:t>
      </w:r>
    </w:p>
    <w:p w14:paraId="5D0A2685" w14:textId="77777777" w:rsidR="00AD1C6F" w:rsidRDefault="00AD1C6F" w:rsidP="00AD1C6F">
      <w:pPr>
        <w:pStyle w:val="Commentaire"/>
      </w:pPr>
      <w:r>
        <w:rPr>
          <w:i/>
          <w:iCs/>
          <w:color w:val="4BACC6"/>
        </w:rPr>
        <w:t>- xxxxxxx</w:t>
      </w:r>
    </w:p>
    <w:p w14:paraId="697496C1" w14:textId="77777777" w:rsidR="00AD1C6F" w:rsidRDefault="00AD1C6F" w:rsidP="00AD1C6F">
      <w:pPr>
        <w:pStyle w:val="Commentaire"/>
      </w:pPr>
      <w:r>
        <w:rPr>
          <w:i/>
          <w:iCs/>
          <w:color w:val="4BACC6"/>
        </w:rPr>
        <w:t>- xxxxxx</w:t>
      </w:r>
    </w:p>
    <w:p w14:paraId="38C84D2B" w14:textId="77777777" w:rsidR="00AD1C6F" w:rsidRDefault="00AD1C6F" w:rsidP="00AD1C6F">
      <w:pPr>
        <w:pStyle w:val="Commentaire"/>
      </w:pPr>
      <w:r>
        <w:rPr>
          <w:i/>
          <w:iCs/>
          <w:color w:val="4BACC6"/>
        </w:rPr>
        <w:t>- xxxxxxx</w:t>
      </w:r>
    </w:p>
    <w:p w14:paraId="77454967" w14:textId="77777777" w:rsidR="00AD1C6F" w:rsidRDefault="00AD1C6F" w:rsidP="00AD1C6F">
      <w:pPr>
        <w:pStyle w:val="Commentaire"/>
      </w:pPr>
      <w:r>
        <w:rPr>
          <w:i/>
          <w:iCs/>
          <w:color w:val="4BACC6"/>
        </w:rPr>
        <w:t>Considérant que la situation la situation de ces prestataires a été vérifiée  pour les motifs d’exclusion obligatoires et facultatifs et que celle-ci est satisfaisante</w:t>
      </w:r>
      <w:r>
        <w:rPr>
          <w:b/>
          <w:bCs/>
          <w:i/>
          <w:iCs/>
          <w:color w:val="4BACC6"/>
        </w:rPr>
        <w:t>;</w:t>
      </w:r>
    </w:p>
    <w:p w14:paraId="381DEC01" w14:textId="77777777" w:rsidR="00AD1C6F" w:rsidRDefault="00AD1C6F" w:rsidP="00AD1C6F">
      <w:pPr>
        <w:pStyle w:val="Commentaire"/>
      </w:pPr>
      <w:r>
        <w:rPr>
          <w:b/>
          <w:bCs/>
          <w:i/>
          <w:iCs/>
          <w:color w:val="4BACC6"/>
        </w:rPr>
        <w:t xml:space="preserve">--- </w:t>
      </w:r>
      <w:r>
        <w:rPr>
          <w:b/>
          <w:bCs/>
          <w:color w:val="4BACC6"/>
        </w:rPr>
        <w:t xml:space="preserve">Cas 2 : si la sélection reste à opérer et qu’un </w:t>
      </w:r>
      <w:r>
        <w:rPr>
          <w:b/>
          <w:bCs/>
          <w:i/>
          <w:iCs/>
          <w:color w:val="4BACC6"/>
        </w:rPr>
        <w:t>AMI préalable est prévu ---</w:t>
      </w:r>
    </w:p>
    <w:p w14:paraId="6EF3B84E" w14:textId="77777777" w:rsidR="00AD1C6F" w:rsidRDefault="00AD1C6F" w:rsidP="00AD1C6F">
      <w:pPr>
        <w:pStyle w:val="Commentaire"/>
      </w:pPr>
      <w:r>
        <w:rPr>
          <w:i/>
          <w:iCs/>
          <w:color w:val="4BACC6"/>
        </w:rPr>
        <w:t>Vu en annexe le projet d’appel à manifestation d’intérêt qui sera lancé en amont du cadre légal en matière de marché public afin d’offrir de la visibilité au marché et de mettre en relation le maître d’ouvrage et un plus grand nombre de candidats, intéressés et disponibles pour ce marché ;</w:t>
      </w:r>
    </w:p>
    <w:p w14:paraId="16F26F4A" w14:textId="77777777" w:rsidR="00AD1C6F" w:rsidRDefault="00AD1C6F" w:rsidP="00AD1C6F">
      <w:pPr>
        <w:pStyle w:val="Commentaire"/>
      </w:pPr>
    </w:p>
    <w:p w14:paraId="7C5F636C" w14:textId="77777777" w:rsidR="00AD1C6F" w:rsidRDefault="00AD1C6F" w:rsidP="00AD1C6F">
      <w:pPr>
        <w:pStyle w:val="Commentaire"/>
      </w:pPr>
      <w:r>
        <w:rPr>
          <w:i/>
          <w:iCs/>
          <w:color w:val="4BACC6"/>
        </w:rPr>
        <w:t>Vu qu’au terme de cet appel, le maître d’ouvrage invitera trois soumissionnaires à remettre une offre après avoir vérifié la situation de ces prestataires pour les motifs d’exclusion obligatoires et facultatifs</w:t>
      </w:r>
      <w:r>
        <w:rPr>
          <w:b/>
          <w:bCs/>
          <w:i/>
          <w:iCs/>
          <w:color w:val="4BACC6"/>
        </w:rPr>
        <w:t>;</w:t>
      </w:r>
    </w:p>
  </w:comment>
  <w:comment w:id="15" w:author="Cellule architecture" w:date="2022-10-10T12:02:00Z" w:initials="CA-SG">
    <w:p w14:paraId="72762CF4" w14:textId="4F59FDD0" w:rsidR="001109F2" w:rsidRDefault="00992AE1">
      <w:pPr>
        <w:pStyle w:val="Commentaire"/>
      </w:pPr>
      <w:r>
        <w:rPr>
          <w:rStyle w:val="Marquedecommentaire"/>
        </w:rPr>
        <w:annotationRef/>
      </w:r>
      <w:r>
        <w:rPr>
          <w:rStyle w:val="Marquedecommentaire"/>
        </w:rPr>
        <w:annotationRef/>
      </w:r>
      <w:r>
        <w:t>En cas de publicité belge uniquement</w:t>
      </w:r>
    </w:p>
  </w:comment>
  <w:comment w:id="14" w:author="Cellule architecture" w:date="2022-10-10T12:27:00Z" w:initials="CA-SG">
    <w:p w14:paraId="3AA77D42" w14:textId="77777777" w:rsidR="001109F2" w:rsidRDefault="00992AE1">
      <w:pPr>
        <w:pStyle w:val="Commentaire"/>
        <w:rPr>
          <w:color w:val="4BACC6" w:themeColor="accent5"/>
        </w:rPr>
      </w:pPr>
      <w:r>
        <w:rPr>
          <w:rStyle w:val="Marquedecommentaire"/>
        </w:rPr>
        <w:annotationRef/>
      </w:r>
      <w:r>
        <w:rPr>
          <w:color w:val="4BACC6" w:themeColor="accent5"/>
        </w:rPr>
        <w:t xml:space="preserve">En cas de procédure négociée sans publication préalable : </w:t>
      </w:r>
    </w:p>
    <w:p w14:paraId="467D271D" w14:textId="77777777" w:rsidR="001109F2" w:rsidRDefault="001109F2">
      <w:pPr>
        <w:pStyle w:val="Commentaire"/>
        <w:rPr>
          <w:color w:val="4BACC6" w:themeColor="accent5"/>
        </w:rPr>
      </w:pPr>
    </w:p>
    <w:p w14:paraId="4A527114" w14:textId="77777777" w:rsidR="001109F2" w:rsidRDefault="00992AE1">
      <w:pPr>
        <w:pStyle w:val="Commentaire"/>
      </w:pPr>
      <w:r>
        <w:rPr>
          <w:color w:val="4BACC6" w:themeColor="accent5"/>
        </w:rPr>
        <w:t>REMPLACER ces mots par « négociée sans publication préalable </w:t>
      </w:r>
      <w:r>
        <w:rPr>
          <w:rFonts w:ascii="Trebuchet MS" w:hAnsi="Trebuchet MS"/>
          <w:color w:val="4BACC6" w:themeColor="accent5"/>
        </w:rPr>
        <w:t>sur base de l’article 42, §1, 1°, a) »</w:t>
      </w:r>
    </w:p>
  </w:comment>
  <w:comment w:id="16" w:author="Cellule architecture" w:date="2024-03-14T16:34:00Z" w:initials="CA-SG">
    <w:p w14:paraId="57C8FB88" w14:textId="77777777" w:rsidR="001109F2" w:rsidRDefault="00992AE1">
      <w:pPr>
        <w:pStyle w:val="Commentaire"/>
      </w:pPr>
      <w:r>
        <w:rPr>
          <w:rStyle w:val="Marquedecommentaire"/>
        </w:rPr>
        <w:annotationRef/>
      </w:r>
      <w:r>
        <w:t>Additionner les honoraires pour la tranche ferme et les tranches conditionnelles.</w:t>
      </w:r>
    </w:p>
  </w:comment>
  <w:comment w:id="17" w:author="Cellule architecture" w:date="2022-10-10T12:17:00Z" w:initials="CA-SG">
    <w:p w14:paraId="5466867E" w14:textId="77777777" w:rsidR="001109F2" w:rsidRDefault="00992AE1">
      <w:pPr>
        <w:pStyle w:val="Commentaire"/>
      </w:pPr>
      <w:r>
        <w:rPr>
          <w:rStyle w:val="Marquedecommentaire"/>
        </w:rPr>
        <w:annotationRef/>
      </w:r>
      <w:r>
        <w:t>Dépenses passation + dépense Intégration d’œuvre d’art le cas échéant</w:t>
      </w:r>
    </w:p>
  </w:comment>
  <w:comment w:id="19" w:author="Cellule architecture" w:date="2025-01-17T14:50:00Z" w:initials="CA-SG">
    <w:p w14:paraId="0DA71C67" w14:textId="77777777" w:rsidR="00153350" w:rsidRDefault="00153350" w:rsidP="00153350">
      <w:pPr>
        <w:pStyle w:val="Commentaire"/>
      </w:pPr>
      <w:r>
        <w:rPr>
          <w:rStyle w:val="Marquedecommentaire"/>
        </w:rPr>
        <w:annotationRef/>
      </w:r>
      <w:r>
        <w:rPr>
          <w:color w:val="4BACC6"/>
        </w:rPr>
        <w:t>SUPPRIMER en cas de procédure négociée sans publication préalable</w:t>
      </w:r>
    </w:p>
  </w:comment>
  <w:comment w:id="20" w:author="Cellule architecture" w:date="2025-01-17T14:50:00Z" w:initials="CA-SG">
    <w:p w14:paraId="717BFCD9" w14:textId="77777777" w:rsidR="00153350" w:rsidRDefault="00153350" w:rsidP="00153350">
      <w:pPr>
        <w:pStyle w:val="Commentaire"/>
      </w:pPr>
      <w:r>
        <w:rPr>
          <w:rStyle w:val="Marquedecommentaire"/>
        </w:rPr>
        <w:annotationRef/>
      </w:r>
      <w:r>
        <w:rPr>
          <w:color w:val="4BACC6"/>
        </w:rPr>
        <w:t>SUPPRIMER en cas de procédure négociée sans publication préalable</w:t>
      </w:r>
    </w:p>
  </w:comment>
  <w:comment w:id="18" w:author="Cellule architecture" w:date="2024-02-23T12:16:00Z" w:initials="CA-SG">
    <w:p w14:paraId="063E6CBC" w14:textId="77777777" w:rsidR="00582346" w:rsidRDefault="00992AE1" w:rsidP="00582346">
      <w:pPr>
        <w:pStyle w:val="Commentaire"/>
      </w:pPr>
      <w:r>
        <w:rPr>
          <w:rStyle w:val="Marquedecommentaire"/>
          <w:color w:val="4BACC6" w:themeColor="accent5"/>
        </w:rPr>
        <w:annotationRef/>
      </w:r>
      <w:r w:rsidR="00582346">
        <w:rPr>
          <w:color w:val="4BACC6"/>
        </w:rPr>
        <w:t>En cas de procédure négociée sans publication préalable </w:t>
      </w:r>
    </w:p>
    <w:p w14:paraId="23DE1196" w14:textId="77777777" w:rsidR="00582346" w:rsidRDefault="00582346" w:rsidP="00582346">
      <w:pPr>
        <w:pStyle w:val="Commentaire"/>
      </w:pPr>
      <w:r>
        <w:rPr>
          <w:color w:val="4BACC6"/>
        </w:rPr>
        <w:t>REMPLACER ce point par :</w:t>
      </w:r>
    </w:p>
    <w:p w14:paraId="607DA36C" w14:textId="77777777" w:rsidR="00582346" w:rsidRDefault="00582346" w:rsidP="00582346">
      <w:pPr>
        <w:pStyle w:val="Commentaire"/>
      </w:pPr>
      <w:r>
        <w:rPr>
          <w:color w:val="4BACC6"/>
        </w:rPr>
        <w:t>- De valider la sélection de prestataires et l’invitation de ces derniers à remettre offre sur base du Cahier des charges joint en annexe ;</w:t>
      </w:r>
    </w:p>
  </w:comment>
  <w:comment w:id="21" w:author="Cellule architecture" w:date="2022-10-10T12:10:00Z" w:initials="CA-SG">
    <w:p w14:paraId="4EF34EFC" w14:textId="7B0B4834" w:rsidR="001109F2" w:rsidRDefault="00992AE1">
      <w:pPr>
        <w:pStyle w:val="Commentaire"/>
      </w:pPr>
      <w:r>
        <w:rPr>
          <w:rStyle w:val="Marquedecommentaire"/>
        </w:rPr>
        <w:annotationRef/>
      </w:r>
      <w:r>
        <w:t>Le cas échéant</w:t>
      </w:r>
    </w:p>
  </w:comment>
  <w:comment w:id="22" w:author="Cellule architecture" w:date="2022-10-10T12:10:00Z" w:initials="CA-SG">
    <w:p w14:paraId="6729F0D6" w14:textId="77777777" w:rsidR="001109F2" w:rsidRDefault="00992AE1">
      <w:pPr>
        <w:pStyle w:val="Commentaire"/>
      </w:pPr>
      <w:r>
        <w:rPr>
          <w:rStyle w:val="Marquedecommentaire"/>
        </w:rPr>
        <w:annotationRef/>
      </w:r>
      <w:r>
        <w:t>Le cas échéant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467935" w15:done="0"/>
  <w15:commentEx w15:paraId="2E574570" w15:done="0"/>
  <w15:commentEx w15:paraId="2655D47E" w15:done="0"/>
  <w15:commentEx w15:paraId="0F18BB8D" w15:done="0"/>
  <w15:commentEx w15:paraId="42DFBF81" w15:done="0"/>
  <w15:commentEx w15:paraId="1CC282F2" w15:done="0"/>
  <w15:commentEx w15:paraId="23261393" w15:done="0"/>
  <w15:commentEx w15:paraId="56A8AB23" w15:done="0"/>
  <w15:commentEx w15:paraId="5C0B3E3C" w15:done="0"/>
  <w15:commentEx w15:paraId="365F6461" w15:done="0"/>
  <w15:commentEx w15:paraId="5F241A8E" w15:done="0"/>
  <w15:commentEx w15:paraId="049ABC40" w15:done="0"/>
  <w15:commentEx w15:paraId="7259F9BD" w15:done="0"/>
  <w15:commentEx w15:paraId="7C5F636C" w15:done="0"/>
  <w15:commentEx w15:paraId="72762CF4" w15:done="0"/>
  <w15:commentEx w15:paraId="4A527114" w15:done="0"/>
  <w15:commentEx w15:paraId="57C8FB88" w15:done="0"/>
  <w15:commentEx w15:paraId="5466867E" w15:done="0"/>
  <w15:commentEx w15:paraId="0DA71C67" w15:done="0"/>
  <w15:commentEx w15:paraId="717BFCD9" w15:done="0"/>
  <w15:commentEx w15:paraId="607DA36C" w15:done="0"/>
  <w15:commentEx w15:paraId="4EF34EFC" w15:done="0"/>
  <w15:commentEx w15:paraId="6729F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4F2F9" w16cex:dateUtc="2025-01-17T14:17:00Z"/>
  <w16cex:commentExtensible w16cex:durableId="2AA7F098" w16cex:dateUtc="2024-10-02T14:17:00Z"/>
  <w16cex:commentExtensible w16cex:durableId="2B34ECA1" w16cex:dateUtc="2025-01-17T13:50:00Z"/>
  <w16cex:commentExtensible w16cex:durableId="2B34ECAA" w16cex:dateUtc="2025-01-1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467935" w16cid:durableId="2AA7F004"/>
  <w16cid:commentId w16cid:paraId="2E574570" w16cid:durableId="2AA7F005"/>
  <w16cid:commentId w16cid:paraId="2655D47E" w16cid:durableId="2AA7F006"/>
  <w16cid:commentId w16cid:paraId="0F18BB8D" w16cid:durableId="2AA7F007"/>
  <w16cid:commentId w16cid:paraId="42DFBF81" w16cid:durableId="2AA7F008"/>
  <w16cid:commentId w16cid:paraId="1CC282F2" w16cid:durableId="2AA7F009"/>
  <w16cid:commentId w16cid:paraId="23261393" w16cid:durableId="2B34F2F9"/>
  <w16cid:commentId w16cid:paraId="56A8AB23" w16cid:durableId="2AA7F00A"/>
  <w16cid:commentId w16cid:paraId="5C0B3E3C" w16cid:durableId="2AA7F00B"/>
  <w16cid:commentId w16cid:paraId="365F6461" w16cid:durableId="2AA7F00C"/>
  <w16cid:commentId w16cid:paraId="5F241A8E" w16cid:durableId="2AA7F098"/>
  <w16cid:commentId w16cid:paraId="049ABC40" w16cid:durableId="2AA7F00D"/>
  <w16cid:commentId w16cid:paraId="7259F9BD" w16cid:durableId="2AA7F00E"/>
  <w16cid:commentId w16cid:paraId="7C5F636C" w16cid:durableId="2AA7F00F"/>
  <w16cid:commentId w16cid:paraId="72762CF4" w16cid:durableId="2AA7F010"/>
  <w16cid:commentId w16cid:paraId="4A527114" w16cid:durableId="2AA7F011"/>
  <w16cid:commentId w16cid:paraId="57C8FB88" w16cid:durableId="2AA7F012"/>
  <w16cid:commentId w16cid:paraId="5466867E" w16cid:durableId="2AA7F013"/>
  <w16cid:commentId w16cid:paraId="0DA71C67" w16cid:durableId="2B34ECA1"/>
  <w16cid:commentId w16cid:paraId="717BFCD9" w16cid:durableId="2B34ECAA"/>
  <w16cid:commentId w16cid:paraId="607DA36C" w16cid:durableId="2AA7F014"/>
  <w16cid:commentId w16cid:paraId="4EF34EFC" w16cid:durableId="2AA7F015"/>
  <w16cid:commentId w16cid:paraId="6729F0D6" w16cid:durableId="2AA7F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9788" w14:textId="77777777" w:rsidR="001109F2" w:rsidRDefault="00992AE1">
      <w:r>
        <w:separator/>
      </w:r>
    </w:p>
  </w:endnote>
  <w:endnote w:type="continuationSeparator" w:id="0">
    <w:p w14:paraId="162928C4" w14:textId="77777777" w:rsidR="001109F2" w:rsidRDefault="0099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8823" w14:textId="7DDE5F81" w:rsidR="001109F2" w:rsidRDefault="00992AE1">
    <w:pPr>
      <w:pStyle w:val="Pieddepage"/>
      <w:rPr>
        <w:sz w:val="18"/>
        <w:szCs w:val="18"/>
      </w:rPr>
    </w:pPr>
    <w:r>
      <w:rPr>
        <w:sz w:val="18"/>
        <w:szCs w:val="18"/>
      </w:rPr>
      <w:t xml:space="preserve">Décision de lancement du marché établie sur base du modèle (www.marchesdarchitecture.be) du </w:t>
    </w:r>
    <w:r w:rsidR="00153350">
      <w:rPr>
        <w:sz w:val="18"/>
        <w:szCs w:val="18"/>
      </w:rPr>
      <w:t>17</w:t>
    </w:r>
    <w:r>
      <w:rPr>
        <w:sz w:val="18"/>
        <w:szCs w:val="18"/>
      </w:rPr>
      <w:t xml:space="preserve"> /</w:t>
    </w:r>
    <w:r w:rsidR="00153350">
      <w:rPr>
        <w:sz w:val="18"/>
        <w:szCs w:val="18"/>
      </w:rPr>
      <w:t xml:space="preserve"> 01 </w:t>
    </w:r>
    <w:r>
      <w:rPr>
        <w:sz w:val="18"/>
        <w:szCs w:val="18"/>
      </w:rPr>
      <w:t>/</w:t>
    </w:r>
    <w:r w:rsidR="00153350">
      <w:rPr>
        <w:sz w:val="18"/>
        <w:szCs w:val="18"/>
      </w:rPr>
      <w:t xml:space="preserve"> </w:t>
    </w:r>
    <w:r>
      <w:rPr>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AC53" w14:textId="77777777" w:rsidR="001109F2" w:rsidRDefault="00992AE1">
      <w:r>
        <w:separator/>
      </w:r>
    </w:p>
  </w:footnote>
  <w:footnote w:type="continuationSeparator" w:id="0">
    <w:p w14:paraId="3F043CFA" w14:textId="77777777" w:rsidR="001109F2" w:rsidRDefault="0099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3349"/>
    <w:multiLevelType w:val="hybridMultilevel"/>
    <w:tmpl w:val="8C7CF210"/>
    <w:lvl w:ilvl="0" w:tplc="20FE1F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575103"/>
    <w:multiLevelType w:val="hybridMultilevel"/>
    <w:tmpl w:val="281AEB00"/>
    <w:lvl w:ilvl="0" w:tplc="20FE1F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42C744C"/>
    <w:multiLevelType w:val="hybridMultilevel"/>
    <w:tmpl w:val="CB446BB6"/>
    <w:lvl w:ilvl="0" w:tplc="B9080032">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811582C"/>
    <w:multiLevelType w:val="hybridMultilevel"/>
    <w:tmpl w:val="9CA4BFC0"/>
    <w:lvl w:ilvl="0" w:tplc="20FE1F8A">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5BC27DFD"/>
    <w:multiLevelType w:val="hybridMultilevel"/>
    <w:tmpl w:val="2A964046"/>
    <w:lvl w:ilvl="0" w:tplc="BB9E181C">
      <w:numFmt w:val="bullet"/>
      <w:lvlText w:val="-"/>
      <w:lvlJc w:val="left"/>
      <w:pPr>
        <w:ind w:left="1068" w:hanging="360"/>
      </w:pPr>
      <w:rPr>
        <w:rFonts w:ascii="Trebuchet MS" w:eastAsia="Times New Roman" w:hAnsi="Trebuchet MS"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67754EB7"/>
    <w:multiLevelType w:val="hybridMultilevel"/>
    <w:tmpl w:val="F7EE19CC"/>
    <w:lvl w:ilvl="0" w:tplc="25A0BDC6">
      <w:start w:val="414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9172899">
    <w:abstractNumId w:val="3"/>
  </w:num>
  <w:num w:numId="2" w16cid:durableId="838427303">
    <w:abstractNumId w:val="4"/>
  </w:num>
  <w:num w:numId="3" w16cid:durableId="1440759960">
    <w:abstractNumId w:val="0"/>
  </w:num>
  <w:num w:numId="4" w16cid:durableId="212620613">
    <w:abstractNumId w:val="1"/>
  </w:num>
  <w:num w:numId="5" w16cid:durableId="1417360595">
    <w:abstractNumId w:val="5"/>
  </w:num>
  <w:num w:numId="6" w16cid:durableId="20550375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F2"/>
    <w:rsid w:val="001109F2"/>
    <w:rsid w:val="00153350"/>
    <w:rsid w:val="00511132"/>
    <w:rsid w:val="00582346"/>
    <w:rsid w:val="00992AE1"/>
    <w:rsid w:val="00A25B84"/>
    <w:rsid w:val="00A666F3"/>
    <w:rsid w:val="00A845DE"/>
    <w:rsid w:val="00AD1C6F"/>
    <w:rsid w:val="00DC2278"/>
    <w:rsid w:val="00EB7314"/>
    <w:rsid w:val="00EF44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9BB6C"/>
  <w15:docId w15:val="{B19EB7C5-AB38-45C6-AFF5-452A851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cs="Tahoma"/>
      <w:sz w:val="20"/>
      <w:szCs w:val="20"/>
    </w:rPr>
  </w:style>
  <w:style w:type="paragraph" w:styleId="Notedebasdepage">
    <w:name w:val="footnote text"/>
    <w:basedOn w:val="Normal"/>
    <w:semiHidden/>
    <w:rPr>
      <w:sz w:val="20"/>
      <w:szCs w:val="20"/>
    </w:rPr>
  </w:style>
  <w:style w:type="character" w:styleId="Appelnotedebasdep">
    <w:name w:val="footnote reference"/>
    <w:basedOn w:val="Policepardfaut"/>
    <w:semiHidden/>
    <w:rPr>
      <w:vertAlign w:val="superscript"/>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rPr>
      <w:sz w:val="20"/>
      <w:szCs w:val="20"/>
    </w:rPr>
  </w:style>
  <w:style w:type="paragraph" w:styleId="Objetducommentaire">
    <w:name w:val="annotation subject"/>
    <w:basedOn w:val="Commentaire"/>
    <w:next w:val="Commentaire"/>
    <w:semiHidden/>
    <w:rPr>
      <w:b/>
      <w:bCs/>
    </w:rPr>
  </w:style>
  <w:style w:type="character" w:customStyle="1" w:styleId="CommentaireCar">
    <w:name w:val="Commentaire Car"/>
    <w:basedOn w:val="Policepardfaut"/>
    <w:link w:val="Commentaire"/>
    <w:locked/>
    <w:rPr>
      <w:lang w:val="fr-FR" w:eastAsia="fr-FR" w:bidi="ar-SA"/>
    </w:rPr>
  </w:style>
  <w:style w:type="paragraph" w:styleId="Notedefin">
    <w:name w:val="endnote text"/>
    <w:basedOn w:val="Normal"/>
    <w:link w:val="NotedefinCar"/>
    <w:pPr>
      <w:jc w:val="both"/>
    </w:pPr>
    <w:rPr>
      <w:rFonts w:ascii="Arial" w:hAnsi="Arial"/>
      <w:sz w:val="20"/>
      <w:szCs w:val="20"/>
    </w:rPr>
  </w:style>
  <w:style w:type="character" w:customStyle="1" w:styleId="NotedefinCar">
    <w:name w:val="Note de fin Car"/>
    <w:basedOn w:val="Policepardfaut"/>
    <w:link w:val="Notedefin"/>
    <w:rPr>
      <w:rFonts w:ascii="Arial" w:hAnsi="Arial"/>
      <w:lang w:val="fr-FR" w:eastAsia="fr-FR"/>
    </w:rPr>
  </w:style>
  <w:style w:type="character" w:styleId="Appeldenotedefin">
    <w:name w:val="endnote reference"/>
    <w:basedOn w:val="Policepardfaut"/>
    <w:rPr>
      <w:vertAlign w:val="superscript"/>
    </w:rPr>
  </w:style>
  <w:style w:type="paragraph" w:styleId="Paragraphedeliste">
    <w:name w:val="List Paragraph"/>
    <w:basedOn w:val="Normal"/>
    <w:uiPriority w:val="34"/>
    <w:qFormat/>
    <w:pPr>
      <w:ind w:left="720"/>
      <w:contextualSpacing/>
    </w:pPr>
  </w:style>
  <w:style w:type="character" w:styleId="Lienhypertexte">
    <w:name w:val="Hyperlink"/>
    <w:basedOn w:val="Policepardfaut"/>
    <w:unhideWhenUsed/>
    <w:rPr>
      <w:color w:val="0000FF" w:themeColor="hyperlink"/>
      <w:u w:val="single"/>
    </w:rPr>
  </w:style>
  <w:style w:type="paragraph" w:customStyle="1" w:styleId="Article">
    <w:name w:val="Article"/>
    <w:basedOn w:val="Normal"/>
    <w:pPr>
      <w:ind w:right="-780"/>
      <w:jc w:val="both"/>
    </w:pPr>
    <w:rPr>
      <w:rFonts w:ascii="Geneva" w:hAnsi="Geneva"/>
      <w:b/>
      <w:sz w:val="20"/>
      <w:szCs w:val="20"/>
    </w:rPr>
  </w:style>
  <w:style w:type="character" w:styleId="Mentionnonrsolue">
    <w:name w:val="Unresolved Mention"/>
    <w:basedOn w:val="Policepardfaut"/>
    <w:uiPriority w:val="99"/>
    <w:semiHidden/>
    <w:unhideWhenUsed/>
    <w:rsid w:val="00DC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marchesdarchitecture.be/libs/dbfiles/doc_CdCtype.docx" TargetMode="External"/><Relationship Id="rId1" Type="http://schemas.openxmlformats.org/officeDocument/2006/relationships/hyperlink" Target="http://www.marchesdarchitecture.b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5B51-39BB-4BF1-BB59-B3DB2172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1034</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PROCEDURE NEGOCIEE AVEC PUBLICITE EUROPEENNE</vt:lpstr>
    </vt:vector>
  </TitlesOfParts>
  <Company>CFWB</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NEGOCIEE AVEC PUBLICITE EUROPEENNE</dc:title>
  <dc:creator>CFWB</dc:creator>
  <cp:lastModifiedBy>Cellule architecture</cp:lastModifiedBy>
  <cp:revision>55</cp:revision>
  <cp:lastPrinted>2009-05-14T10:43:00Z</cp:lastPrinted>
  <dcterms:created xsi:type="dcterms:W3CDTF">2022-10-03T15:27:00Z</dcterms:created>
  <dcterms:modified xsi:type="dcterms:W3CDTF">2025-01-17T14:17:00Z</dcterms:modified>
</cp:coreProperties>
</file>