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W w:w="0" w:type="auto"/>
        <w:tblInd w:w="-13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00"/>
        <w:gridCol w:w="5200"/>
      </w:tblGrid>
      <w:tr>
        <w:trPr>
          <w:cantSplit/>
        </w:trPr>
        <w:tc>
          <w:tcPr>
            <w:tcW w:w="4900" w:type="dxa"/>
          </w:tcPr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5200" w:type="dxa"/>
          </w:tcPr>
          <w:p>
            <w:pPr>
              <w:pStyle w:val="Titre2"/>
              <w:rPr>
                <w:rFonts w:ascii="Arial" w:hAnsi="Arial"/>
                <w:b/>
                <w:sz w:val="22"/>
              </w:rPr>
            </w:pPr>
          </w:p>
        </w:tc>
      </w:tr>
      <w:tr>
        <w:trPr>
          <w:cantSplit/>
        </w:trPr>
        <w:tc>
          <w:tcPr>
            <w:tcW w:w="4900" w:type="dxa"/>
          </w:tcPr>
          <w:p>
            <w:pPr>
              <w:pStyle w:val="Titre4"/>
            </w:pPr>
            <w:r>
              <w:t>Votre correspondant(e)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Arial" w:hAnsi="Arial"/>
                <w:b/>
                <w:vanish/>
                <w:sz w:val="22"/>
              </w:rPr>
            </w:pPr>
          </w:p>
        </w:tc>
      </w:tr>
      <w:tr>
        <w:trPr>
          <w:cantSplit/>
        </w:trPr>
        <w:tc>
          <w:tcPr>
            <w:tcW w:w="4900" w:type="dxa"/>
          </w:tcPr>
          <w:p>
            <w:pPr>
              <w:pStyle w:val="Titre3"/>
            </w:pPr>
            <w:r>
              <w:t xml:space="preserve">              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>
        <w:trPr>
          <w:cantSplit/>
        </w:trPr>
        <w:tc>
          <w:tcPr>
            <w:tcW w:w="4900" w:type="dxa"/>
          </w:tcPr>
          <w:p>
            <w:pPr>
              <w:pStyle w:val="Titre5"/>
            </w:pPr>
          </w:p>
        </w:tc>
        <w:tc>
          <w:tcPr>
            <w:tcW w:w="5200" w:type="dxa"/>
          </w:tcPr>
          <w:p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>
        <w:trPr>
          <w:cantSplit/>
        </w:trPr>
        <w:tc>
          <w:tcPr>
            <w:tcW w:w="4900" w:type="dxa"/>
          </w:tcPr>
          <w:p>
            <w:pPr>
              <w:ind w:left="611" w:firstLine="1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</w:rPr>
              <w:t></w:t>
            </w:r>
            <w:r>
              <w:rPr>
                <w:rFonts w:ascii="Arial" w:hAnsi="Arial" w:cs="Arial"/>
                <w:sz w:val="22"/>
              </w:rPr>
              <w:t xml:space="preserve">: 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>
        <w:trPr>
          <w:cantSplit/>
        </w:trPr>
        <w:tc>
          <w:tcPr>
            <w:tcW w:w="4900" w:type="dxa"/>
          </w:tcPr>
          <w:p>
            <w:pPr>
              <w:ind w:left="469" w:firstLine="284"/>
              <w:rPr>
                <w:rFonts w:ascii="Arial" w:hAnsi="Arial" w:cs="Arial"/>
              </w:rPr>
            </w:pPr>
            <w:r>
              <w:rPr>
                <w:rFonts w:ascii="Wingdings" w:hAnsi="Wingdings"/>
                <w:sz w:val="24"/>
              </w:rPr>
              <w:t></w:t>
            </w:r>
            <w:r>
              <w:rPr>
                <w:rFonts w:ascii="Arial" w:hAnsi="Arial" w:cs="Arial"/>
                <w:sz w:val="24"/>
              </w:rPr>
              <w:t xml:space="preserve"> : </w:t>
            </w:r>
            <w:r>
              <w:rPr>
                <w:rFonts w:ascii="Wingdings" w:hAnsi="Wingdings"/>
                <w:sz w:val="24"/>
              </w:rPr>
              <w:t>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>
        <w:trPr>
          <w:cantSplit/>
        </w:trPr>
        <w:tc>
          <w:tcPr>
            <w:tcW w:w="4900" w:type="dxa"/>
          </w:tcPr>
          <w:p>
            <w:pPr>
              <w:ind w:firstLine="753"/>
              <w:rPr>
                <w:rFonts w:ascii="Arial" w:hAnsi="Arial" w:cs="Arial"/>
              </w:rPr>
            </w:pPr>
            <w:r>
              <w:rPr>
                <w:rFonts w:ascii="Wingdings" w:hAnsi="Wingdings"/>
              </w:rPr>
              <w:t></w:t>
            </w:r>
            <w:r>
              <w:rPr>
                <w:rFonts w:ascii="Arial" w:hAnsi="Arial" w:cs="Arial"/>
              </w:rPr>
              <w:t> : @</w:t>
            </w:r>
          </w:p>
          <w:p>
            <w:pPr>
              <w:ind w:left="327" w:firstLine="426"/>
              <w:rPr>
                <w:rFonts w:ascii="Arial" w:hAnsi="Arial"/>
                <w:i/>
                <w:sz w:val="18"/>
              </w:rPr>
            </w:pPr>
          </w:p>
        </w:tc>
        <w:tc>
          <w:tcPr>
            <w:tcW w:w="5200" w:type="dxa"/>
          </w:tcPr>
          <w:p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-80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42"/>
        <w:gridCol w:w="2380"/>
        <w:gridCol w:w="3200"/>
      </w:tblGrid>
      <w:tr>
        <w:trPr>
          <w:cantSplit/>
        </w:trPr>
        <w:tc>
          <w:tcPr>
            <w:tcW w:w="1942" w:type="dxa"/>
          </w:tcPr>
          <w:p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Votre lettre du </w:t>
            </w:r>
          </w:p>
        </w:tc>
        <w:tc>
          <w:tcPr>
            <w:tcW w:w="2380" w:type="dxa"/>
          </w:tcPr>
          <w:p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Vos références</w:t>
            </w:r>
          </w:p>
        </w:tc>
        <w:tc>
          <w:tcPr>
            <w:tcW w:w="3200" w:type="dxa"/>
          </w:tcPr>
          <w:p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Nos références</w:t>
            </w:r>
          </w:p>
        </w:tc>
      </w:tr>
      <w:tr>
        <w:trPr>
          <w:cantSplit/>
        </w:trPr>
        <w:tc>
          <w:tcPr>
            <w:tcW w:w="1942" w:type="dxa"/>
          </w:tcPr>
          <w:p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</w:tcPr>
          <w:p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00" w:type="dxa"/>
          </w:tcPr>
          <w:p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>
      <w:pPr>
        <w:rPr>
          <w:rFonts w:ascii="Arial" w:hAnsi="Arial"/>
          <w:sz w:val="22"/>
          <w:szCs w:val="22"/>
        </w:rPr>
      </w:pPr>
    </w:p>
    <w:p>
      <w:pPr>
        <w:outlineLvl w:val="0"/>
        <w:rPr>
          <w:rFonts w:ascii="Arial" w:hAnsi="Arial" w:cs="Arial"/>
          <w:b/>
          <w:bCs/>
          <w:sz w:val="22"/>
          <w:highlight w:val="yellow"/>
        </w:rPr>
      </w:pPr>
      <w:r>
        <w:rPr>
          <w:rFonts w:ascii="Arial" w:hAnsi="Arial" w:cs="Arial"/>
          <w:b/>
          <w:bCs/>
          <w:sz w:val="22"/>
          <w:u w:val="single"/>
        </w:rPr>
        <w:t>Objet</w:t>
      </w:r>
      <w:r>
        <w:rPr>
          <w:rFonts w:ascii="Arial" w:hAnsi="Arial" w:cs="Arial"/>
          <w:b/>
          <w:bCs/>
          <w:sz w:val="22"/>
        </w:rPr>
        <w:t xml:space="preserve"> :  </w:t>
      </w:r>
      <w:r>
        <w:rPr>
          <w:rFonts w:ascii="Arial" w:hAnsi="Arial" w:cs="Arial"/>
          <w:b/>
          <w:bCs/>
          <w:sz w:val="22"/>
          <w:highlight w:val="yellow"/>
        </w:rPr>
        <w:t>VILLE – ADRESSE</w:t>
      </w:r>
    </w:p>
    <w:p>
      <w:pPr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 xml:space="preserve">     </w:t>
      </w:r>
      <w:r>
        <w:rPr>
          <w:rFonts w:ascii="Arial" w:hAnsi="Arial" w:cs="Arial"/>
          <w:b/>
          <w:bCs/>
          <w:sz w:val="22"/>
          <w:highlight w:val="yellow"/>
        </w:rPr>
        <w:t>Intitulé du projet</w:t>
      </w:r>
    </w:p>
    <w:p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>Désignation d’un auteur de projet</w:t>
      </w:r>
    </w:p>
    <w:p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  <w:vertAlign w:val="superscript"/>
        </w:rPr>
        <w:t>ème</w:t>
      </w:r>
      <w:r>
        <w:rPr>
          <w:rFonts w:ascii="Arial" w:hAnsi="Arial" w:cs="Arial"/>
          <w:b/>
          <w:sz w:val="22"/>
          <w:szCs w:val="22"/>
        </w:rPr>
        <w:t xml:space="preserve"> réunion du Jury – Evaluation des offres en vue de l’attribution du marché</w:t>
      </w:r>
    </w:p>
    <w:p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 xml:space="preserve">Réunion du </w:t>
      </w:r>
      <w:r>
        <w:rPr>
          <w:rFonts w:ascii="Arial" w:hAnsi="Arial" w:cs="Arial"/>
          <w:b/>
          <w:bCs/>
          <w:sz w:val="22"/>
          <w:highlight w:val="yellow"/>
        </w:rPr>
        <w:t>date</w:t>
      </w:r>
      <w:r>
        <w:rPr>
          <w:rFonts w:ascii="Arial" w:hAnsi="Arial" w:cs="Arial"/>
          <w:b/>
          <w:bCs/>
          <w:sz w:val="22"/>
        </w:rPr>
        <w:t xml:space="preserve"> à </w:t>
      </w:r>
      <w:r>
        <w:rPr>
          <w:rFonts w:ascii="Arial" w:hAnsi="Arial" w:cs="Arial"/>
          <w:b/>
          <w:bCs/>
          <w:sz w:val="22"/>
          <w:highlight w:val="yellow"/>
        </w:rPr>
        <w:t>Ville</w:t>
      </w:r>
    </w:p>
    <w:p>
      <w:pPr>
        <w:pBdr>
          <w:bottom w:val="single" w:sz="4" w:space="1" w:color="auto"/>
        </w:pBdr>
        <w:rPr>
          <w:rFonts w:ascii="Arial" w:hAnsi="Arial"/>
          <w:sz w:val="22"/>
          <w:szCs w:val="22"/>
        </w:rPr>
      </w:pPr>
    </w:p>
    <w:p>
      <w:pPr>
        <w:jc w:val="both"/>
        <w:rPr>
          <w:rFonts w:ascii="Arial" w:hAnsi="Arial"/>
          <w:sz w:val="22"/>
        </w:rPr>
      </w:pPr>
    </w:p>
    <w:p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highlight w:val="yellow"/>
        </w:rPr>
        <w:t>Madame, Monsieur</w:t>
      </w:r>
      <w:r>
        <w:rPr>
          <w:rFonts w:ascii="Arial" w:hAnsi="Arial"/>
          <w:sz w:val="22"/>
        </w:rPr>
        <w:t>,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pStyle w:val="Retraitcorpsdetexte"/>
        <w:ind w:left="0" w:right="-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jury en vue de l’attribution du marché dans le cadre du dossier sous objet aura lieu le </w:t>
      </w:r>
      <w:r>
        <w:rPr>
          <w:rFonts w:ascii="Arial" w:hAnsi="Arial" w:cs="Arial"/>
          <w:sz w:val="22"/>
          <w:szCs w:val="22"/>
          <w:highlight w:val="yellow"/>
        </w:rPr>
        <w:t>xx/xx/xxxx</w:t>
      </w:r>
      <w:r>
        <w:rPr>
          <w:rFonts w:ascii="Arial" w:hAnsi="Arial" w:cs="Arial"/>
          <w:sz w:val="22"/>
          <w:szCs w:val="22"/>
        </w:rPr>
        <w:t xml:space="preserve"> à partir </w:t>
      </w:r>
      <w:commentRangeStart w:id="0"/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  <w:highlight w:val="yellow"/>
        </w:rPr>
        <w:t>9h30.</w:t>
      </w:r>
      <w:commentRangeEnd w:id="0"/>
      <w:r>
        <w:rPr>
          <w:rStyle w:val="Marquedecommentaire"/>
          <w:rFonts w:ascii="Arial" w:hAnsi="Arial"/>
        </w:rPr>
        <w:commentReference w:id="0"/>
      </w:r>
    </w:p>
    <w:p>
      <w:pPr>
        <w:ind w:right="-7"/>
        <w:jc w:val="both"/>
        <w:rPr>
          <w:rFonts w:ascii="Arial" w:hAnsi="Arial" w:cs="Arial"/>
          <w:sz w:val="22"/>
          <w:szCs w:val="22"/>
        </w:rPr>
      </w:pPr>
    </w:p>
    <w:p>
      <w:pPr>
        <w:ind w:right="-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soumissionnaires défendront leur offre oralement (</w:t>
      </w:r>
      <w:smartTag w:uri="urn:schemas-microsoft-com:office:smarttags" w:element="metricconverter">
        <w:smartTagPr>
          <w:attr w:name="ProductID" w:val="30’"/>
        </w:smartTagPr>
        <w:r>
          <w:rPr>
            <w:rFonts w:ascii="Arial" w:hAnsi="Arial" w:cs="Arial"/>
            <w:sz w:val="22"/>
            <w:szCs w:val="22"/>
          </w:rPr>
          <w:t>30’</w:t>
        </w:r>
      </w:smartTag>
      <w:r>
        <w:rPr>
          <w:rFonts w:ascii="Arial" w:hAnsi="Arial" w:cs="Arial"/>
          <w:sz w:val="22"/>
          <w:szCs w:val="22"/>
        </w:rPr>
        <w:t xml:space="preserve"> présentation du projet et 20’ séance questions-réponses) devant le Jury. Aucun document d’offre ne vous sera transmis avant la réunion.</w:t>
      </w:r>
    </w:p>
    <w:p>
      <w:pPr>
        <w:ind w:right="-7"/>
        <w:jc w:val="both"/>
        <w:rPr>
          <w:rFonts w:ascii="Arial" w:hAnsi="Arial" w:cs="Arial"/>
          <w:sz w:val="22"/>
          <w:szCs w:val="22"/>
        </w:rPr>
      </w:pPr>
    </w:p>
    <w:p>
      <w:pPr>
        <w:ind w:right="-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rencontre aura lieu à </w:t>
      </w:r>
      <w:r>
        <w:rPr>
          <w:rFonts w:ascii="Arial" w:hAnsi="Arial" w:cs="Arial"/>
          <w:sz w:val="22"/>
          <w:szCs w:val="22"/>
          <w:highlight w:val="yellow"/>
        </w:rPr>
        <w:t>Site + adresse+ indications pour trouver la salle</w:t>
      </w:r>
      <w:r>
        <w:rPr>
          <w:rFonts w:ascii="Arial" w:hAnsi="Arial" w:cs="Arial"/>
          <w:sz w:val="22"/>
          <w:szCs w:val="22"/>
        </w:rPr>
        <w:t xml:space="preserve"> et se déroulera dans l’ordre suivant :</w:t>
      </w:r>
    </w:p>
    <w:p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à partir de </w:t>
      </w:r>
      <w:r>
        <w:rPr>
          <w:rFonts w:ascii="Arial" w:hAnsi="Arial" w:cs="Arial"/>
          <w:sz w:val="22"/>
          <w:szCs w:val="22"/>
          <w:highlight w:val="yellow"/>
        </w:rPr>
        <w:t>9h15</w:t>
      </w:r>
      <w:r>
        <w:rPr>
          <w:rFonts w:ascii="Arial" w:hAnsi="Arial" w:cs="Arial"/>
          <w:sz w:val="22"/>
          <w:szCs w:val="22"/>
        </w:rPr>
        <w:t> : accueil des membres du jury – café;</w:t>
      </w:r>
    </w:p>
    <w:p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9h30</w:t>
      </w:r>
      <w:r>
        <w:rPr>
          <w:rFonts w:ascii="Arial" w:hAnsi="Arial" w:cs="Arial"/>
          <w:sz w:val="22"/>
          <w:szCs w:val="22"/>
        </w:rPr>
        <w:t> : début de la séance, où seront rappelés les enjeux du projet et seront distribués les documents de pré-analyse des offres ;</w:t>
      </w:r>
    </w:p>
    <w:p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à partir de </w:t>
      </w:r>
      <w:r>
        <w:rPr>
          <w:rFonts w:ascii="Arial" w:hAnsi="Arial" w:cs="Arial"/>
          <w:sz w:val="22"/>
          <w:szCs w:val="22"/>
          <w:highlight w:val="yellow"/>
        </w:rPr>
        <w:t>10h</w:t>
      </w:r>
      <w:r>
        <w:rPr>
          <w:rFonts w:ascii="Arial" w:hAnsi="Arial" w:cs="Arial"/>
          <w:sz w:val="22"/>
          <w:szCs w:val="22"/>
        </w:rPr>
        <w:t> : présentation orale des offres par les auteurs de projet à tour de rôle;</w:t>
      </w:r>
    </w:p>
    <w:p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temps de midi : </w:t>
      </w:r>
      <w:commentRangeStart w:id="1"/>
      <w:r>
        <w:rPr>
          <w:rFonts w:ascii="Arial" w:hAnsi="Arial" w:cs="Arial"/>
          <w:sz w:val="22"/>
          <w:szCs w:val="22"/>
        </w:rPr>
        <w:t>pause lunch </w:t>
      </w:r>
      <w:commentRangeEnd w:id="1"/>
      <w:r>
        <w:rPr>
          <w:rStyle w:val="Marquedecommentaire"/>
          <w:rFonts w:ascii="Arial" w:hAnsi="Arial"/>
        </w:rPr>
        <w:commentReference w:id="1"/>
      </w:r>
      <w:r>
        <w:rPr>
          <w:rFonts w:ascii="Arial" w:hAnsi="Arial" w:cs="Arial"/>
          <w:sz w:val="22"/>
          <w:szCs w:val="22"/>
        </w:rPr>
        <w:t>;</w:t>
      </w:r>
    </w:p>
    <w:p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suite des présentations orales ;</w:t>
      </w:r>
    </w:p>
    <w:p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15h</w:t>
      </w:r>
      <w:r>
        <w:rPr>
          <w:rFonts w:ascii="Arial" w:hAnsi="Arial" w:cs="Arial"/>
          <w:sz w:val="22"/>
          <w:szCs w:val="22"/>
        </w:rPr>
        <w:t>30 : début des débats et de la délibération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Nous nous permettons d’insister sur la nécessité d’une présence continue tout au long de la journée, qui pourrait se poursuivre jusqu’en soirée (19h maximum).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rappel cette réunion a pour objet de soumettre pour décision à l’autorité compétente, soit </w:t>
      </w:r>
      <w:commentRangeStart w:id="2"/>
      <w:r>
        <w:rPr>
          <w:rFonts w:ascii="Arial" w:hAnsi="Arial" w:cs="Arial"/>
          <w:sz w:val="22"/>
          <w:szCs w:val="22"/>
          <w:highlight w:val="yellow"/>
        </w:rPr>
        <w:t>xxxxx</w:t>
      </w:r>
      <w:commentRangeEnd w:id="2"/>
      <w:r>
        <w:rPr>
          <w:rStyle w:val="Marquedecommentaire"/>
          <w:rFonts w:ascii="Arial" w:hAnsi="Arial"/>
        </w:rPr>
        <w:commentReference w:id="2"/>
      </w:r>
      <w:r>
        <w:rPr>
          <w:rFonts w:ascii="Arial" w:hAnsi="Arial" w:cs="Arial"/>
          <w:sz w:val="22"/>
          <w:szCs w:val="22"/>
        </w:rPr>
        <w:t>, le nom de l’auteur de projet qui sera chargé d’élaborer le projet en question.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votre complète information, vous trouvez ci-joint :</w:t>
      </w:r>
    </w:p>
    <w:p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rapport de sélection;</w:t>
      </w:r>
      <w:bookmarkStart w:id="3" w:name="_GoBack"/>
      <w:bookmarkEnd w:id="3"/>
    </w:p>
    <w:p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cahier des charges transmis aux candidats retenus ;</w:t>
      </w:r>
    </w:p>
    <w:p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le procès-verbal de la visite sur place / séance de questions-réponses avec les soumissionnaires </w:t>
      </w:r>
      <w:commentRangeStart w:id="4"/>
      <w:r>
        <w:rPr>
          <w:rFonts w:ascii="Arial" w:hAnsi="Arial"/>
          <w:sz w:val="22"/>
        </w:rPr>
        <w:t>ainsi que le proès-verbal des questions-réponses supplémentaires échangées durant la production de l’offre</w:t>
      </w:r>
      <w:commentRangeEnd w:id="4"/>
      <w:r>
        <w:rPr>
          <w:rStyle w:val="Marquedecommentaire"/>
          <w:rFonts w:ascii="Arial" w:hAnsi="Arial"/>
        </w:rPr>
        <w:commentReference w:id="4"/>
      </w:r>
      <w:r>
        <w:rPr>
          <w:rFonts w:ascii="Arial" w:hAnsi="Arial"/>
          <w:sz w:val="22"/>
        </w:rPr>
        <w:t> ;</w:t>
      </w:r>
    </w:p>
    <w:p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règlement d’ordre intérieur du jury.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commentRangeStart w:id="5"/>
      <w:r>
        <w:rPr>
          <w:rFonts w:ascii="Arial" w:hAnsi="Arial" w:cs="Arial"/>
          <w:sz w:val="22"/>
          <w:szCs w:val="22"/>
        </w:rPr>
        <w:t xml:space="preserve">La prestation des experts extérieurs agissant en dehors de leur fonction donne lieu à un dédommagement forfaitaire pour la journée ainsi qu’au remboursement des frais de </w:t>
      </w:r>
      <w:r>
        <w:rPr>
          <w:rFonts w:ascii="Arial" w:hAnsi="Arial" w:cs="Arial"/>
          <w:sz w:val="22"/>
          <w:szCs w:val="22"/>
        </w:rPr>
        <w:lastRenderedPageBreak/>
        <w:t xml:space="preserve">transport, </w:t>
      </w:r>
      <w:r>
        <w:rPr>
          <w:rFonts w:ascii="Arial" w:hAnsi="Arial" w:cs="Arial"/>
          <w:sz w:val="22"/>
          <w:szCs w:val="22"/>
          <w:highlight w:val="yellow"/>
        </w:rPr>
        <w:t>et, le cas échéant, d’hébergement,</w:t>
      </w:r>
      <w:r>
        <w:rPr>
          <w:rFonts w:ascii="Arial" w:hAnsi="Arial" w:cs="Arial"/>
          <w:sz w:val="22"/>
          <w:szCs w:val="22"/>
        </w:rPr>
        <w:t xml:space="preserve"> selon le modèle de facture en annexe, qu’ils pourront remettre le jour de la réunion du jury ou renvoyer suite à la réunion par courrier à l’adresse y mentionnée.</w:t>
      </w:r>
      <w:commentRangeEnd w:id="5"/>
      <w:r>
        <w:rPr>
          <w:rStyle w:val="Marquedecommentaire"/>
          <w:rFonts w:ascii="Arial" w:hAnsi="Arial"/>
        </w:rPr>
        <w:commentReference w:id="5"/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ind w:right="-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vous remerciant pour votre précieuse collaboration, je vous prie d’agréer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MERGEFIELD "Pays"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MERGEFIELD "Téléphone_professionnel"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highlight w:val="yellow"/>
        </w:rPr>
        <w:t>Madame, Monsieur</w:t>
      </w:r>
      <w:r>
        <w:rPr>
          <w:rFonts w:ascii="Arial" w:hAnsi="Arial" w:cs="Arial"/>
          <w:sz w:val="22"/>
          <w:szCs w:val="22"/>
        </w:rPr>
        <w:t>, l’assurance de notre considération.</w:t>
      </w:r>
    </w:p>
    <w:p>
      <w:pPr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</w:p>
    <w:p>
      <w:pPr>
        <w:ind w:left="5680"/>
        <w:rPr>
          <w:rFonts w:ascii="Arial" w:hAnsi="Arial"/>
          <w:sz w:val="22"/>
          <w:highlight w:val="yellow"/>
        </w:rPr>
      </w:pPr>
      <w:r>
        <w:rPr>
          <w:rFonts w:ascii="Arial" w:hAnsi="Arial"/>
          <w:sz w:val="22"/>
          <w:highlight w:val="yellow"/>
        </w:rPr>
        <w:t>Xxxxxxxxxxxxxxxxxxx</w:t>
      </w:r>
    </w:p>
    <w:p>
      <w:pPr>
        <w:ind w:left="5680"/>
        <w:rPr>
          <w:rFonts w:ascii="Arial" w:hAnsi="Arial"/>
          <w:sz w:val="22"/>
          <w:highlight w:val="yellow"/>
        </w:rPr>
      </w:pPr>
      <w:r>
        <w:rPr>
          <w:rFonts w:ascii="Arial" w:hAnsi="Arial"/>
          <w:sz w:val="22"/>
          <w:highlight w:val="yellow"/>
        </w:rPr>
        <w:t>Xxxxxxxxxxxxxxxxxxx</w:t>
      </w:r>
    </w:p>
    <w:p>
      <w:pPr>
        <w:ind w:left="5680"/>
        <w:rPr>
          <w:rFonts w:ascii="Arial" w:hAnsi="Arial"/>
          <w:sz w:val="22"/>
        </w:rPr>
      </w:pPr>
      <w:r>
        <w:rPr>
          <w:rFonts w:ascii="Arial" w:hAnsi="Arial"/>
          <w:sz w:val="22"/>
          <w:highlight w:val="yellow"/>
        </w:rPr>
        <w:t>xxxxxxxxxxxxxxxxxxx</w:t>
      </w:r>
      <w:r>
        <w:rPr>
          <w:rFonts w:ascii="Arial" w:hAnsi="Arial"/>
          <w:sz w:val="22"/>
        </w:rPr>
        <w:t xml:space="preserve"> </w:t>
      </w:r>
    </w:p>
    <w:p>
      <w:pPr>
        <w:ind w:left="5680"/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Annexes</w:t>
      </w:r>
      <w:r>
        <w:rPr>
          <w:rFonts w:ascii="Arial" w:hAnsi="Arial"/>
          <w:sz w:val="22"/>
        </w:rPr>
        <w:t> :</w:t>
      </w:r>
    </w:p>
    <w:p>
      <w:pPr>
        <w:pStyle w:val="Paragraphedeliste"/>
        <w:numPr>
          <w:ilvl w:val="0"/>
          <w:numId w:val="1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rapport de sélection</w:t>
      </w:r>
    </w:p>
    <w:p>
      <w:pPr>
        <w:numPr>
          <w:ilvl w:val="0"/>
          <w:numId w:val="1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cahier des charges ;</w:t>
      </w:r>
    </w:p>
    <w:p>
      <w:pPr>
        <w:numPr>
          <w:ilvl w:val="0"/>
          <w:numId w:val="1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PV des questions-réponses</w:t>
      </w:r>
    </w:p>
    <w:p>
      <w:pPr>
        <w:pStyle w:val="Paragraphedeliste"/>
        <w:numPr>
          <w:ilvl w:val="0"/>
          <w:numId w:val="1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le règlement d’ordre intérieur du Jury;</w:t>
      </w:r>
    </w:p>
    <w:p>
      <w:pPr>
        <w:numPr>
          <w:ilvl w:val="0"/>
          <w:numId w:val="11"/>
        </w:numPr>
        <w:rPr>
          <w:rFonts w:ascii="Arial" w:hAnsi="Arial"/>
          <w:sz w:val="22"/>
        </w:rPr>
      </w:pPr>
      <w:commentRangeStart w:id="6"/>
      <w:r>
        <w:rPr>
          <w:rFonts w:ascii="Arial" w:hAnsi="Arial"/>
          <w:sz w:val="22"/>
        </w:rPr>
        <w:t>facture expert extérieur.</w:t>
      </w:r>
      <w:commentRangeEnd w:id="6"/>
      <w:r>
        <w:rPr>
          <w:rStyle w:val="Marquedecommentaire"/>
          <w:rFonts w:ascii="Arial" w:hAnsi="Arial"/>
        </w:rPr>
        <w:commentReference w:id="6"/>
      </w:r>
    </w:p>
    <w:p>
      <w:pPr>
        <w:ind w:left="5680"/>
        <w:rPr>
          <w:rFonts w:ascii="Arial" w:hAnsi="Arial"/>
          <w:sz w:val="22"/>
        </w:rPr>
      </w:pPr>
    </w:p>
    <w:sectPr>
      <w:footnotePr>
        <w:numRestart w:val="eachPage"/>
      </w:footnotePr>
      <w:pgSz w:w="11880" w:h="16820"/>
      <w:pgMar w:top="964" w:right="1134" w:bottom="1134" w:left="1701" w:header="1077" w:footer="1077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abine" w:date="2022-06-07T10:30:00Z" w:initials="CA-SG">
    <w:p>
      <w:pPr>
        <w:pStyle w:val="Commentaire"/>
      </w:pPr>
      <w:r>
        <w:rPr>
          <w:rStyle w:val="Marquedecommentaire"/>
        </w:rPr>
        <w:annotationRef/>
      </w:r>
      <w:r>
        <w:t xml:space="preserve">Evaluer si cette heure d’arrivée est raisonnable en tenant compte de la provenance et du moyen de déplacement des membres du jury. Peser les risques liés aux heures de pointe. </w:t>
      </w:r>
    </w:p>
  </w:comment>
  <w:comment w:id="1" w:author="Sabine" w:date="2022-06-07T10:31:00Z" w:initials="CA-SG">
    <w:p>
      <w:pPr>
        <w:pStyle w:val="Commentaire"/>
      </w:pPr>
      <w:r>
        <w:rPr>
          <w:rStyle w:val="Marquedecommentaire"/>
        </w:rPr>
        <w:annotationRef/>
      </w:r>
      <w:r>
        <w:t>Prévoir un lunch convivial mais ‘efficace’ : il n’y a qu’1h pour le lunch.</w:t>
      </w:r>
    </w:p>
  </w:comment>
  <w:comment w:id="2" w:author="guissa01" w:date="2016-03-23T10:58:00Z" w:initials="CellArchi">
    <w:p>
      <w:pPr>
        <w:pStyle w:val="Commentaire"/>
      </w:pPr>
      <w:r>
        <w:rPr>
          <w:rStyle w:val="Marquedecommentaire"/>
        </w:rPr>
        <w:annotationRef/>
      </w:r>
      <w:r>
        <w:t>Indiquer le nom de cette autorité : Ministre, Collège communal, conseil d’administration, ...</w:t>
      </w:r>
    </w:p>
  </w:comment>
  <w:comment w:id="4" w:author="Cellule architecture" w:date="2020-06-05T11:08:00Z" w:initials="CellArchi">
    <w:p>
      <w:pPr>
        <w:pStyle w:val="Commentaire"/>
      </w:pPr>
      <w:r>
        <w:rPr>
          <w:rStyle w:val="Marquedecommentaire"/>
        </w:rPr>
        <w:annotationRef/>
      </w:r>
      <w:r>
        <w:t>A SUPPRMER</w:t>
      </w:r>
    </w:p>
    <w:p>
      <w:pPr>
        <w:pStyle w:val="Commentaire"/>
      </w:pPr>
      <w:r>
        <w:t>Si le PV des QR supplémentaires n’est pas encore disponible au moment d’envoi de ce courrier. Il pourra être transmis ultérieurement aux membres du jury, par le biais d’un email de rappel 2 semaines avant la réunion.</w:t>
      </w:r>
    </w:p>
  </w:comment>
  <w:comment w:id="5" w:author="guissa01" w:date="2015-02-11T13:02:00Z" w:initials="CellArchi">
    <w:p>
      <w:pPr>
        <w:pStyle w:val="Commentaire"/>
      </w:pPr>
      <w:r>
        <w:rPr>
          <w:rStyle w:val="Marquedecommentaire"/>
        </w:rPr>
        <w:annotationRef/>
      </w:r>
    </w:p>
    <w:p>
      <w:pPr>
        <w:pStyle w:val="Commentaire"/>
      </w:pPr>
      <w:r>
        <w:t>A ne mentionner que dans le courrier destiné aux experts extérieurs</w:t>
      </w:r>
    </w:p>
  </w:comment>
  <w:comment w:id="6" w:author="Cellule architecture" w:date="2020-06-05T10:50:00Z" w:initials="CellArchi">
    <w:p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t>A ne mentionner que dans le courrier destiné aux experts extérieurs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3B33"/>
    <w:multiLevelType w:val="hybridMultilevel"/>
    <w:tmpl w:val="A1FE3794"/>
    <w:lvl w:ilvl="0" w:tplc="D340DD4E">
      <w:numFmt w:val="bullet"/>
      <w:lvlText w:val="-"/>
      <w:lvlJc w:val="left"/>
      <w:pPr>
        <w:tabs>
          <w:tab w:val="num" w:pos="1364"/>
        </w:tabs>
        <w:ind w:left="1364" w:hanging="48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64"/>
        </w:tabs>
        <w:ind w:left="19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84"/>
        </w:tabs>
        <w:ind w:left="2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04"/>
        </w:tabs>
        <w:ind w:left="3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24"/>
        </w:tabs>
        <w:ind w:left="41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44"/>
        </w:tabs>
        <w:ind w:left="4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64"/>
        </w:tabs>
        <w:ind w:left="5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84"/>
        </w:tabs>
        <w:ind w:left="62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04"/>
        </w:tabs>
        <w:ind w:left="7004" w:hanging="360"/>
      </w:pPr>
      <w:rPr>
        <w:rFonts w:ascii="Wingdings" w:hAnsi="Wingdings" w:hint="default"/>
      </w:rPr>
    </w:lvl>
  </w:abstractNum>
  <w:abstractNum w:abstractNumId="1" w15:restartNumberingAfterBreak="0">
    <w:nsid w:val="1D9B7CB7"/>
    <w:multiLevelType w:val="singleLevel"/>
    <w:tmpl w:val="EC8AE93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2931E54"/>
    <w:multiLevelType w:val="hybridMultilevel"/>
    <w:tmpl w:val="5E06A060"/>
    <w:lvl w:ilvl="0" w:tplc="BC6AC0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31F31"/>
    <w:multiLevelType w:val="hybridMultilevel"/>
    <w:tmpl w:val="E6666E74"/>
    <w:lvl w:ilvl="0" w:tplc="CBE49B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D07E5"/>
    <w:multiLevelType w:val="hybridMultilevel"/>
    <w:tmpl w:val="257A2172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156E10"/>
    <w:multiLevelType w:val="hybridMultilevel"/>
    <w:tmpl w:val="8ABCBF22"/>
    <w:lvl w:ilvl="0" w:tplc="6A64F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702CC"/>
    <w:multiLevelType w:val="hybridMultilevel"/>
    <w:tmpl w:val="DAA22B72"/>
    <w:lvl w:ilvl="0" w:tplc="6A64F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EA21CE"/>
    <w:multiLevelType w:val="hybridMultilevel"/>
    <w:tmpl w:val="0D0E1830"/>
    <w:lvl w:ilvl="0" w:tplc="FFFFFFFF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25069"/>
    <w:multiLevelType w:val="hybridMultilevel"/>
    <w:tmpl w:val="3E98DE5C"/>
    <w:lvl w:ilvl="0" w:tplc="C2108EF8"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EFE7A6B"/>
    <w:multiLevelType w:val="multilevel"/>
    <w:tmpl w:val="32A0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C74C9"/>
    <w:multiLevelType w:val="hybridMultilevel"/>
    <w:tmpl w:val="32A097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0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bine">
    <w15:presenceInfo w15:providerId="None" w15:userId="Sabine"/>
  </w15:person>
  <w15:person w15:author="Cellule architecture">
    <w15:presenceInfo w15:providerId="None" w15:userId="Cellule architectu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782CF6-2620-4B94-89FB-9F7C9467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right" w:pos="4500"/>
      </w:tabs>
      <w:ind w:left="3402"/>
      <w:jc w:val="center"/>
      <w:outlineLvl w:val="0"/>
    </w:pPr>
    <w:rPr>
      <w:rFonts w:ascii="Times" w:hAnsi="Times"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i/>
      <w:sz w:val="18"/>
    </w:rPr>
  </w:style>
  <w:style w:type="paragraph" w:styleId="Titre4">
    <w:name w:val="heading 4"/>
    <w:basedOn w:val="Normal"/>
    <w:next w:val="Normal"/>
    <w:qFormat/>
    <w:pPr>
      <w:keepNext/>
      <w:ind w:firstLine="753"/>
      <w:outlineLvl w:val="3"/>
    </w:pPr>
    <w:rPr>
      <w:rFonts w:ascii="Arial" w:hAnsi="Arial" w:cs="Arial"/>
      <w:bCs/>
      <w:i/>
      <w:sz w:val="18"/>
    </w:rPr>
  </w:style>
  <w:style w:type="paragraph" w:styleId="Titre5">
    <w:name w:val="heading 5"/>
    <w:basedOn w:val="Normal"/>
    <w:next w:val="Normal"/>
    <w:qFormat/>
    <w:pPr>
      <w:keepNext/>
      <w:ind w:left="753"/>
      <w:outlineLvl w:val="4"/>
    </w:pPr>
    <w:rPr>
      <w:rFonts w:ascii="Arial" w:hAnsi="Arial"/>
      <w:i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Retraitcorpsdetexte">
    <w:name w:val="Body Text Indent"/>
    <w:basedOn w:val="Normal"/>
    <w:pPr>
      <w:ind w:left="284" w:hanging="284"/>
      <w:jc w:val="both"/>
    </w:pPr>
    <w:rPr>
      <w:rFonts w:ascii="Times" w:hAnsi="Times"/>
      <w:sz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pPr>
      <w:jc w:val="both"/>
    </w:pPr>
    <w:rPr>
      <w:rFonts w:ascii="Arial" w:hAnsi="Arial"/>
    </w:rPr>
  </w:style>
  <w:style w:type="paragraph" w:styleId="Objetducommentaire">
    <w:name w:val="annotation subject"/>
    <w:basedOn w:val="Commentaire"/>
    <w:next w:val="Commentaire"/>
    <w:semiHidden/>
    <w:pPr>
      <w:jc w:val="left"/>
    </w:pPr>
    <w:rPr>
      <w:rFonts w:ascii="Courier" w:hAnsi="Courier"/>
      <w:b/>
      <w:bCs/>
    </w:rPr>
  </w:style>
  <w:style w:type="character" w:customStyle="1" w:styleId="CommentaireCar">
    <w:name w:val="Commentaire Car"/>
    <w:basedOn w:val="Policepardfaut"/>
    <w:link w:val="Commentaire"/>
    <w:semiHidden/>
    <w:rPr>
      <w:rFonts w:ascii="Arial" w:hAnsi="Arial"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Libération caution tot.</vt:lpstr>
    </vt:vector>
  </TitlesOfParts>
  <Company>CFWB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Libération caution tot.</dc:title>
  <dc:creator>CFWB</dc:creator>
  <cp:lastModifiedBy>Cellule architecture-SG</cp:lastModifiedBy>
  <cp:revision>26</cp:revision>
  <cp:lastPrinted>2010-07-26T14:24:00Z</cp:lastPrinted>
  <dcterms:created xsi:type="dcterms:W3CDTF">2016-03-23T10:00:00Z</dcterms:created>
  <dcterms:modified xsi:type="dcterms:W3CDTF">2023-08-31T15:11:00Z</dcterms:modified>
</cp:coreProperties>
</file>